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179869">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eastAsia="zh-CN"/>
        </w:rPr>
        <w:t>关于</w:t>
      </w:r>
      <w:r>
        <w:rPr>
          <w:rFonts w:hint="eastAsia" w:ascii="Times New Roman" w:hAnsi="Times New Roman" w:eastAsia="方正小标宋简体" w:cs="Times New Roman"/>
          <w:sz w:val="44"/>
          <w:szCs w:val="44"/>
          <w:lang w:val="en-US" w:eastAsia="zh-CN"/>
        </w:rPr>
        <w:t>2026</w:t>
      </w:r>
      <w:r>
        <w:rPr>
          <w:rFonts w:hint="default" w:ascii="Times New Roman" w:hAnsi="Times New Roman" w:eastAsia="方正小标宋简体" w:cs="Times New Roman"/>
          <w:sz w:val="44"/>
          <w:szCs w:val="44"/>
          <w:lang w:val="en-US" w:eastAsia="zh-CN"/>
        </w:rPr>
        <w:t>年政府预算公开有关事项的说明</w:t>
      </w:r>
    </w:p>
    <w:p w14:paraId="74BEC609">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黑体" w:cs="Times New Roman"/>
          <w:sz w:val="32"/>
          <w:szCs w:val="32"/>
          <w:lang w:val="en-US" w:eastAsia="zh-CN"/>
        </w:rPr>
      </w:pPr>
    </w:p>
    <w:p w14:paraId="03D9646C">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一</w:t>
      </w:r>
      <w:r>
        <w:rPr>
          <w:rFonts w:hint="eastAsia" w:ascii="Times New Roman" w:hAnsi="Times New Roman" w:eastAsia="黑体" w:cs="Times New Roman"/>
          <w:sz w:val="32"/>
          <w:szCs w:val="32"/>
          <w:lang w:val="en-US" w:eastAsia="zh-CN"/>
        </w:rPr>
        <w:t>、</w:t>
      </w:r>
      <w:r>
        <w:rPr>
          <w:rFonts w:hint="default" w:ascii="Times New Roman" w:hAnsi="Times New Roman" w:eastAsia="黑体" w:cs="Times New Roman"/>
          <w:sz w:val="32"/>
          <w:szCs w:val="32"/>
          <w:lang w:val="en-US" w:eastAsia="zh-CN"/>
        </w:rPr>
        <w:t>关于一般公共预算的情况说明</w:t>
      </w:r>
    </w:p>
    <w:p w14:paraId="0818E2DF">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576" w:lineRule="exact"/>
        <w:ind w:right="0" w:rightChars="0" w:firstLine="640" w:firstLineChars="200"/>
        <w:jc w:val="left"/>
        <w:textAlignment w:val="auto"/>
        <w:outlineLvl w:val="9"/>
        <w:rPr>
          <w:rFonts w:hint="default" w:ascii="Times New Roman" w:hAnsi="Times New Roman" w:eastAsia="仿宋_GB2312" w:cs="Times New Roman"/>
          <w:color w:val="auto"/>
          <w:kern w:val="0"/>
          <w:sz w:val="32"/>
          <w:szCs w:val="32"/>
          <w:highlight w:val="none"/>
          <w:lang w:val="en-US" w:eastAsia="zh-CN" w:bidi="ar-SA"/>
        </w:rPr>
      </w:pPr>
      <w:r>
        <w:rPr>
          <w:rFonts w:hint="default" w:ascii="Times New Roman" w:hAnsi="Times New Roman" w:eastAsia="仿宋_GB2312" w:cs="Times New Roman"/>
          <w:color w:val="auto"/>
          <w:kern w:val="0"/>
          <w:sz w:val="32"/>
          <w:szCs w:val="32"/>
          <w:highlight w:val="none"/>
          <w:lang w:val="en-US" w:eastAsia="zh-CN" w:bidi="ar-SA"/>
        </w:rPr>
        <w:t>年初一般公共预算总财力248700万元，较上年预算数增长2.87%。其中：地方一般公共预算收入安排63517万元，较上年完成数增长7%、上级补助收入155044万元（返还性收入27656万元、一般性转移支付收入125535万元、专项转移支付收入1853万元）、动用预算稳定调节基金2660万元、调入资金12000万元；上年结转结余15479万元。</w:t>
      </w:r>
    </w:p>
    <w:p w14:paraId="12E739D4">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576" w:lineRule="exact"/>
        <w:ind w:right="0" w:rightChars="0" w:firstLine="640" w:firstLineChars="200"/>
        <w:jc w:val="left"/>
        <w:textAlignment w:val="auto"/>
        <w:outlineLvl w:val="9"/>
        <w:rPr>
          <w:rFonts w:hint="default" w:ascii="Times New Roman" w:hAnsi="Times New Roman" w:eastAsia="仿宋_GB2312" w:cs="Times New Roman"/>
          <w:color w:val="auto"/>
          <w:kern w:val="0"/>
          <w:sz w:val="32"/>
          <w:szCs w:val="32"/>
          <w:highlight w:val="none"/>
          <w:lang w:val="en-US" w:eastAsia="zh-CN" w:bidi="ar-SA"/>
        </w:rPr>
      </w:pPr>
      <w:r>
        <w:rPr>
          <w:rFonts w:hint="default" w:ascii="Times New Roman" w:hAnsi="Times New Roman" w:eastAsia="仿宋_GB2312" w:cs="Times New Roman"/>
          <w:color w:val="auto"/>
          <w:kern w:val="0"/>
          <w:sz w:val="32"/>
          <w:szCs w:val="32"/>
          <w:highlight w:val="none"/>
          <w:lang w:val="en-US" w:eastAsia="zh-CN" w:bidi="ar-SA"/>
        </w:rPr>
        <w:t>根据收支平衡原则，一般公共预算总支出248700万元，其中：当年支出235260万元，调出专项</w:t>
      </w:r>
      <w:r>
        <w:rPr>
          <w:rFonts w:hint="eastAsia" w:ascii="Times New Roman" w:hAnsi="Times New Roman" w:eastAsia="仿宋_GB2312" w:cs="Times New Roman"/>
          <w:color w:val="auto"/>
          <w:kern w:val="0"/>
          <w:sz w:val="32"/>
          <w:szCs w:val="32"/>
          <w:highlight w:val="none"/>
          <w:lang w:val="en-US" w:eastAsia="zh-CN" w:bidi="ar-SA"/>
        </w:rPr>
        <w:t>债务付息支出</w:t>
      </w:r>
      <w:r>
        <w:rPr>
          <w:rFonts w:hint="default" w:ascii="Times New Roman" w:hAnsi="Times New Roman" w:eastAsia="仿宋_GB2312" w:cs="Times New Roman"/>
          <w:color w:val="auto"/>
          <w:kern w:val="0"/>
          <w:sz w:val="32"/>
          <w:szCs w:val="32"/>
          <w:highlight w:val="none"/>
          <w:lang w:val="en-US" w:eastAsia="zh-CN" w:bidi="ar-SA"/>
        </w:rPr>
        <w:t>1155万元，上解支出10785万元，债务还本支出1500万元。</w:t>
      </w:r>
      <w:r>
        <w:rPr>
          <w:rFonts w:hint="default" w:ascii="Times New Roman" w:hAnsi="Times New Roman" w:eastAsia="仿宋_GB2312" w:cs="Times New Roman"/>
          <w:color w:val="auto"/>
          <w:kern w:val="0"/>
          <w:sz w:val="32"/>
          <w:szCs w:val="32"/>
          <w:highlight w:val="none"/>
          <w:lang w:val="en-US" w:eastAsia="zh-CN" w:bidi="ar-SA"/>
        </w:rPr>
        <w:tab/>
      </w:r>
    </w:p>
    <w:p w14:paraId="178E05DC">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576" w:lineRule="exact"/>
        <w:ind w:right="0" w:rightChars="0" w:firstLine="640" w:firstLineChars="200"/>
        <w:jc w:val="left"/>
        <w:textAlignment w:val="auto"/>
        <w:outlineLvl w:val="9"/>
        <w:rPr>
          <w:rFonts w:hint="default" w:ascii="Times New Roman" w:hAnsi="Times New Roman" w:eastAsia="仿宋_GB2312" w:cs="Times New Roman"/>
          <w:color w:val="auto"/>
          <w:kern w:val="0"/>
          <w:sz w:val="32"/>
          <w:szCs w:val="32"/>
          <w:highlight w:val="none"/>
          <w:lang w:val="en-US" w:eastAsia="zh-CN" w:bidi="ar-SA"/>
        </w:rPr>
      </w:pPr>
      <w:r>
        <w:rPr>
          <w:rFonts w:hint="default" w:ascii="Times New Roman" w:hAnsi="Times New Roman" w:eastAsia="仿宋_GB2312" w:cs="Times New Roman"/>
          <w:color w:val="auto"/>
          <w:kern w:val="0"/>
          <w:sz w:val="32"/>
          <w:szCs w:val="32"/>
          <w:highlight w:val="none"/>
          <w:lang w:val="en-US" w:eastAsia="zh-CN" w:bidi="ar-SA"/>
        </w:rPr>
        <w:t>一般公共预算支出主要安排：一般公共服务支出29354元</w:t>
      </w:r>
      <w:r>
        <w:rPr>
          <w:rFonts w:hint="default" w:ascii="Times New Roman" w:hAnsi="Times New Roman" w:cs="Times New Roman"/>
          <w:color w:val="auto"/>
          <w:kern w:val="0"/>
          <w:sz w:val="32"/>
          <w:szCs w:val="32"/>
          <w:highlight w:val="none"/>
          <w:lang w:val="en-US" w:eastAsia="zh-CN" w:bidi="ar-SA"/>
        </w:rPr>
        <w:t>、</w:t>
      </w:r>
      <w:r>
        <w:rPr>
          <w:rFonts w:hint="default" w:ascii="Times New Roman" w:hAnsi="Times New Roman" w:eastAsia="仿宋_GB2312" w:cs="Times New Roman"/>
          <w:color w:val="auto"/>
          <w:kern w:val="0"/>
          <w:sz w:val="32"/>
          <w:szCs w:val="32"/>
          <w:highlight w:val="none"/>
          <w:lang w:val="en-US" w:eastAsia="zh-CN" w:bidi="ar-SA"/>
        </w:rPr>
        <w:t>国防支出163万元</w:t>
      </w:r>
      <w:r>
        <w:rPr>
          <w:rFonts w:hint="default" w:ascii="Times New Roman" w:hAnsi="Times New Roman" w:cs="Times New Roman"/>
          <w:color w:val="auto"/>
          <w:kern w:val="0"/>
          <w:sz w:val="32"/>
          <w:szCs w:val="32"/>
          <w:highlight w:val="none"/>
          <w:lang w:val="en-US" w:eastAsia="zh-CN" w:bidi="ar-SA"/>
        </w:rPr>
        <w:t>、</w:t>
      </w:r>
      <w:r>
        <w:rPr>
          <w:rFonts w:hint="default" w:ascii="Times New Roman" w:hAnsi="Times New Roman" w:eastAsia="仿宋_GB2312" w:cs="Times New Roman"/>
          <w:color w:val="auto"/>
          <w:kern w:val="0"/>
          <w:sz w:val="32"/>
          <w:szCs w:val="32"/>
          <w:highlight w:val="none"/>
          <w:lang w:val="en-US" w:eastAsia="zh-CN" w:bidi="ar-SA"/>
        </w:rPr>
        <w:t>公共安全支出4978万元</w:t>
      </w:r>
      <w:r>
        <w:rPr>
          <w:rFonts w:hint="default" w:ascii="Times New Roman" w:hAnsi="Times New Roman" w:cs="Times New Roman"/>
          <w:color w:val="auto"/>
          <w:kern w:val="0"/>
          <w:sz w:val="32"/>
          <w:szCs w:val="32"/>
          <w:highlight w:val="none"/>
          <w:lang w:val="en-US" w:eastAsia="zh-CN" w:bidi="ar-SA"/>
        </w:rPr>
        <w:t>、</w:t>
      </w:r>
      <w:r>
        <w:rPr>
          <w:rFonts w:hint="default" w:ascii="Times New Roman" w:hAnsi="Times New Roman" w:eastAsia="仿宋_GB2312" w:cs="Times New Roman"/>
          <w:color w:val="auto"/>
          <w:kern w:val="0"/>
          <w:sz w:val="32"/>
          <w:szCs w:val="32"/>
          <w:highlight w:val="none"/>
          <w:lang w:val="en-US" w:eastAsia="zh-CN" w:bidi="ar-SA"/>
        </w:rPr>
        <w:t>教育支出38223万元</w:t>
      </w:r>
      <w:r>
        <w:rPr>
          <w:rFonts w:hint="default" w:ascii="Times New Roman" w:hAnsi="Times New Roman" w:cs="Times New Roman"/>
          <w:color w:val="auto"/>
          <w:kern w:val="0"/>
          <w:sz w:val="32"/>
          <w:szCs w:val="32"/>
          <w:highlight w:val="none"/>
          <w:lang w:val="en-US" w:eastAsia="zh-CN" w:bidi="ar-SA"/>
        </w:rPr>
        <w:t>、</w:t>
      </w:r>
      <w:r>
        <w:rPr>
          <w:rFonts w:hint="default" w:ascii="Times New Roman" w:hAnsi="Times New Roman" w:eastAsia="仿宋_GB2312" w:cs="Times New Roman"/>
          <w:color w:val="auto"/>
          <w:kern w:val="0"/>
          <w:sz w:val="32"/>
          <w:szCs w:val="32"/>
          <w:highlight w:val="none"/>
          <w:lang w:val="en-US" w:eastAsia="zh-CN" w:bidi="ar-SA"/>
        </w:rPr>
        <w:t>科学技术支出836万元</w:t>
      </w:r>
      <w:r>
        <w:rPr>
          <w:rFonts w:hint="default" w:ascii="Times New Roman" w:hAnsi="Times New Roman" w:cs="Times New Roman"/>
          <w:color w:val="auto"/>
          <w:kern w:val="0"/>
          <w:sz w:val="32"/>
          <w:szCs w:val="32"/>
          <w:highlight w:val="none"/>
          <w:lang w:val="en-US" w:eastAsia="zh-CN" w:bidi="ar-SA"/>
        </w:rPr>
        <w:t>、</w:t>
      </w:r>
      <w:r>
        <w:rPr>
          <w:rFonts w:hint="default" w:ascii="Times New Roman" w:hAnsi="Times New Roman" w:eastAsia="仿宋_GB2312" w:cs="Times New Roman"/>
          <w:color w:val="auto"/>
          <w:kern w:val="0"/>
          <w:sz w:val="32"/>
          <w:szCs w:val="32"/>
          <w:highlight w:val="none"/>
          <w:lang w:val="en-US" w:eastAsia="zh-CN" w:bidi="ar-SA"/>
        </w:rPr>
        <w:t>文化旅游体育与传媒支出3442万元</w:t>
      </w:r>
      <w:r>
        <w:rPr>
          <w:rFonts w:hint="default" w:ascii="Times New Roman" w:hAnsi="Times New Roman" w:cs="Times New Roman"/>
          <w:color w:val="auto"/>
          <w:kern w:val="0"/>
          <w:sz w:val="32"/>
          <w:szCs w:val="32"/>
          <w:highlight w:val="none"/>
          <w:lang w:val="en-US" w:eastAsia="zh-CN" w:bidi="ar-SA"/>
        </w:rPr>
        <w:t>、</w:t>
      </w:r>
      <w:r>
        <w:rPr>
          <w:rFonts w:hint="default" w:ascii="Times New Roman" w:hAnsi="Times New Roman" w:eastAsia="仿宋_GB2312" w:cs="Times New Roman"/>
          <w:color w:val="auto"/>
          <w:kern w:val="0"/>
          <w:sz w:val="32"/>
          <w:szCs w:val="32"/>
          <w:highlight w:val="none"/>
          <w:lang w:val="en-US" w:eastAsia="zh-CN" w:bidi="ar-SA"/>
        </w:rPr>
        <w:t>社会保障和就业支出59916万元</w:t>
      </w:r>
      <w:r>
        <w:rPr>
          <w:rFonts w:hint="default" w:ascii="Times New Roman" w:hAnsi="Times New Roman" w:cs="Times New Roman"/>
          <w:color w:val="auto"/>
          <w:kern w:val="0"/>
          <w:sz w:val="32"/>
          <w:szCs w:val="32"/>
          <w:highlight w:val="none"/>
          <w:lang w:val="en-US" w:eastAsia="zh-CN" w:bidi="ar-SA"/>
        </w:rPr>
        <w:t>、</w:t>
      </w:r>
      <w:r>
        <w:rPr>
          <w:rFonts w:hint="default" w:ascii="Times New Roman" w:hAnsi="Times New Roman" w:eastAsia="仿宋_GB2312" w:cs="Times New Roman"/>
          <w:color w:val="auto"/>
          <w:kern w:val="0"/>
          <w:sz w:val="32"/>
          <w:szCs w:val="32"/>
          <w:highlight w:val="none"/>
          <w:lang w:val="en-US" w:eastAsia="zh-CN" w:bidi="ar-SA"/>
        </w:rPr>
        <w:t>卫生健康支出29779万元</w:t>
      </w:r>
      <w:r>
        <w:rPr>
          <w:rFonts w:hint="default" w:ascii="Times New Roman" w:hAnsi="Times New Roman" w:cs="Times New Roman"/>
          <w:color w:val="auto"/>
          <w:kern w:val="0"/>
          <w:sz w:val="32"/>
          <w:szCs w:val="32"/>
          <w:highlight w:val="none"/>
          <w:lang w:val="en-US" w:eastAsia="zh-CN" w:bidi="ar-SA"/>
        </w:rPr>
        <w:t>、</w:t>
      </w:r>
      <w:r>
        <w:rPr>
          <w:rFonts w:hint="default" w:ascii="Times New Roman" w:hAnsi="Times New Roman" w:eastAsia="仿宋_GB2312" w:cs="Times New Roman"/>
          <w:color w:val="auto"/>
          <w:kern w:val="0"/>
          <w:sz w:val="32"/>
          <w:szCs w:val="32"/>
          <w:highlight w:val="none"/>
          <w:lang w:val="en-US" w:eastAsia="zh-CN" w:bidi="ar-SA"/>
        </w:rPr>
        <w:t>节能环保支出1084万元</w:t>
      </w:r>
      <w:r>
        <w:rPr>
          <w:rFonts w:hint="default" w:ascii="Times New Roman" w:hAnsi="Times New Roman" w:cs="Times New Roman"/>
          <w:color w:val="auto"/>
          <w:kern w:val="0"/>
          <w:sz w:val="32"/>
          <w:szCs w:val="32"/>
          <w:highlight w:val="none"/>
          <w:lang w:val="en-US" w:eastAsia="zh-CN" w:bidi="ar-SA"/>
        </w:rPr>
        <w:t>、</w:t>
      </w:r>
      <w:r>
        <w:rPr>
          <w:rFonts w:hint="default" w:ascii="Times New Roman" w:hAnsi="Times New Roman" w:eastAsia="仿宋_GB2312" w:cs="Times New Roman"/>
          <w:color w:val="auto"/>
          <w:kern w:val="0"/>
          <w:sz w:val="32"/>
          <w:szCs w:val="32"/>
          <w:highlight w:val="none"/>
          <w:lang w:val="en-US" w:eastAsia="zh-CN" w:bidi="ar-SA"/>
        </w:rPr>
        <w:t>城乡社区支出14558元</w:t>
      </w:r>
      <w:r>
        <w:rPr>
          <w:rFonts w:hint="default" w:ascii="Times New Roman" w:hAnsi="Times New Roman" w:cs="Times New Roman"/>
          <w:color w:val="auto"/>
          <w:kern w:val="0"/>
          <w:sz w:val="32"/>
          <w:szCs w:val="32"/>
          <w:highlight w:val="none"/>
          <w:lang w:val="en-US" w:eastAsia="zh-CN" w:bidi="ar-SA"/>
        </w:rPr>
        <w:t>、</w:t>
      </w:r>
      <w:r>
        <w:rPr>
          <w:rFonts w:hint="default" w:ascii="Times New Roman" w:hAnsi="Times New Roman" w:eastAsia="仿宋_GB2312" w:cs="Times New Roman"/>
          <w:color w:val="auto"/>
          <w:kern w:val="0"/>
          <w:sz w:val="32"/>
          <w:szCs w:val="32"/>
          <w:highlight w:val="none"/>
          <w:lang w:val="en-US" w:eastAsia="zh-CN" w:bidi="ar-SA"/>
        </w:rPr>
        <w:t>农林水支出1402万元</w:t>
      </w:r>
      <w:r>
        <w:rPr>
          <w:rFonts w:hint="default" w:ascii="Times New Roman" w:hAnsi="Times New Roman" w:cs="Times New Roman"/>
          <w:color w:val="auto"/>
          <w:kern w:val="0"/>
          <w:sz w:val="32"/>
          <w:szCs w:val="32"/>
          <w:highlight w:val="none"/>
          <w:lang w:val="en-US" w:eastAsia="zh-CN" w:bidi="ar-SA"/>
        </w:rPr>
        <w:t>、</w:t>
      </w:r>
      <w:r>
        <w:rPr>
          <w:rFonts w:hint="default" w:ascii="Times New Roman" w:hAnsi="Times New Roman" w:eastAsia="仿宋_GB2312" w:cs="Times New Roman"/>
          <w:color w:val="auto"/>
          <w:kern w:val="0"/>
          <w:sz w:val="32"/>
          <w:szCs w:val="32"/>
          <w:highlight w:val="none"/>
          <w:lang w:val="en-US" w:eastAsia="zh-CN" w:bidi="ar-SA"/>
        </w:rPr>
        <w:t>交通运输支出11587万元</w:t>
      </w:r>
      <w:r>
        <w:rPr>
          <w:rFonts w:hint="default" w:ascii="Times New Roman" w:hAnsi="Times New Roman" w:cs="Times New Roman"/>
          <w:color w:val="auto"/>
          <w:kern w:val="0"/>
          <w:sz w:val="32"/>
          <w:szCs w:val="32"/>
          <w:highlight w:val="none"/>
          <w:lang w:val="en-US" w:eastAsia="zh-CN" w:bidi="ar-SA"/>
        </w:rPr>
        <w:t>、</w:t>
      </w:r>
      <w:r>
        <w:rPr>
          <w:rFonts w:hint="default" w:ascii="Times New Roman" w:hAnsi="Times New Roman" w:eastAsia="仿宋_GB2312" w:cs="Times New Roman"/>
          <w:color w:val="auto"/>
          <w:kern w:val="0"/>
          <w:sz w:val="32"/>
          <w:szCs w:val="32"/>
          <w:highlight w:val="none"/>
          <w:lang w:val="en-US" w:eastAsia="zh-CN" w:bidi="ar-SA"/>
        </w:rPr>
        <w:t>资源勘探工业信息等支出554万元</w:t>
      </w:r>
      <w:r>
        <w:rPr>
          <w:rFonts w:hint="default" w:ascii="Times New Roman" w:hAnsi="Times New Roman" w:cs="Times New Roman"/>
          <w:color w:val="auto"/>
          <w:kern w:val="0"/>
          <w:sz w:val="32"/>
          <w:szCs w:val="32"/>
          <w:highlight w:val="none"/>
          <w:lang w:val="en-US" w:eastAsia="zh-CN" w:bidi="ar-SA"/>
        </w:rPr>
        <w:t>、</w:t>
      </w:r>
      <w:r>
        <w:rPr>
          <w:rFonts w:hint="default" w:ascii="Times New Roman" w:hAnsi="Times New Roman" w:eastAsia="仿宋_GB2312" w:cs="Times New Roman"/>
          <w:color w:val="auto"/>
          <w:kern w:val="0"/>
          <w:sz w:val="32"/>
          <w:szCs w:val="32"/>
          <w:highlight w:val="none"/>
          <w:lang w:val="en-US" w:eastAsia="zh-CN" w:bidi="ar-SA"/>
        </w:rPr>
        <w:t>商业服务业等支出189万元</w:t>
      </w:r>
      <w:r>
        <w:rPr>
          <w:rFonts w:hint="default" w:ascii="Times New Roman" w:hAnsi="Times New Roman" w:cs="Times New Roman"/>
          <w:color w:val="auto"/>
          <w:kern w:val="0"/>
          <w:sz w:val="32"/>
          <w:szCs w:val="32"/>
          <w:highlight w:val="none"/>
          <w:lang w:val="en-US" w:eastAsia="zh-CN" w:bidi="ar-SA"/>
        </w:rPr>
        <w:t>、</w:t>
      </w:r>
      <w:r>
        <w:rPr>
          <w:rFonts w:hint="default" w:ascii="Times New Roman" w:hAnsi="Times New Roman" w:eastAsia="仿宋_GB2312" w:cs="Times New Roman"/>
          <w:color w:val="auto"/>
          <w:kern w:val="0"/>
          <w:sz w:val="32"/>
          <w:szCs w:val="32"/>
          <w:highlight w:val="none"/>
          <w:lang w:val="en-US" w:eastAsia="zh-CN" w:bidi="ar-SA"/>
        </w:rPr>
        <w:t>自然资源海洋气象等支出1018万元</w:t>
      </w:r>
      <w:r>
        <w:rPr>
          <w:rFonts w:hint="default" w:ascii="Times New Roman" w:hAnsi="Times New Roman" w:cs="Times New Roman"/>
          <w:color w:val="auto"/>
          <w:kern w:val="0"/>
          <w:sz w:val="32"/>
          <w:szCs w:val="32"/>
          <w:highlight w:val="none"/>
          <w:lang w:val="en-US" w:eastAsia="zh-CN" w:bidi="ar-SA"/>
        </w:rPr>
        <w:t>、</w:t>
      </w:r>
      <w:r>
        <w:rPr>
          <w:rFonts w:hint="default" w:ascii="Times New Roman" w:hAnsi="Times New Roman" w:eastAsia="仿宋_GB2312" w:cs="Times New Roman"/>
          <w:color w:val="auto"/>
          <w:kern w:val="0"/>
          <w:sz w:val="32"/>
          <w:szCs w:val="32"/>
          <w:highlight w:val="none"/>
          <w:lang w:val="en-US" w:eastAsia="zh-CN" w:bidi="ar-SA"/>
        </w:rPr>
        <w:t>住房保障支出30530万元、灾害防治及应急管理支出3631万元</w:t>
      </w:r>
      <w:r>
        <w:rPr>
          <w:rFonts w:hint="default" w:ascii="Times New Roman" w:hAnsi="Times New Roman" w:cs="Times New Roman"/>
          <w:color w:val="auto"/>
          <w:kern w:val="0"/>
          <w:sz w:val="32"/>
          <w:szCs w:val="32"/>
          <w:highlight w:val="none"/>
          <w:lang w:val="en-US" w:eastAsia="zh-CN" w:bidi="ar-SA"/>
        </w:rPr>
        <w:t>，</w:t>
      </w:r>
      <w:r>
        <w:rPr>
          <w:rFonts w:hint="default" w:ascii="Times New Roman" w:hAnsi="Times New Roman" w:eastAsia="仿宋_GB2312" w:cs="Times New Roman"/>
          <w:color w:val="auto"/>
          <w:kern w:val="0"/>
          <w:sz w:val="32"/>
          <w:szCs w:val="32"/>
          <w:highlight w:val="none"/>
          <w:lang w:val="en-US" w:eastAsia="zh-CN" w:bidi="ar-SA"/>
        </w:rPr>
        <w:t>预备费2487万元、债务还本支出</w:t>
      </w:r>
      <w:r>
        <w:rPr>
          <w:rFonts w:hint="eastAsia" w:ascii="Times New Roman" w:hAnsi="Times New Roman" w:eastAsia="仿宋_GB2312" w:cs="Times New Roman"/>
          <w:color w:val="auto"/>
          <w:kern w:val="0"/>
          <w:sz w:val="32"/>
          <w:szCs w:val="32"/>
          <w:highlight w:val="none"/>
          <w:lang w:val="en-US" w:eastAsia="zh-CN" w:bidi="ar-SA"/>
        </w:rPr>
        <w:t>15</w:t>
      </w:r>
      <w:r>
        <w:rPr>
          <w:rFonts w:hint="default" w:ascii="Times New Roman" w:hAnsi="Times New Roman" w:eastAsia="仿宋_GB2312" w:cs="Times New Roman"/>
          <w:color w:val="auto"/>
          <w:kern w:val="0"/>
          <w:sz w:val="32"/>
          <w:szCs w:val="32"/>
          <w:highlight w:val="none"/>
          <w:lang w:val="en-US" w:eastAsia="zh-CN" w:bidi="ar-SA"/>
        </w:rPr>
        <w:t>29万元。</w:t>
      </w:r>
    </w:p>
    <w:p w14:paraId="2F5965CD">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576" w:lineRule="exact"/>
        <w:ind w:right="0" w:rightChars="0" w:firstLine="640" w:firstLineChars="200"/>
        <w:jc w:val="left"/>
        <w:textAlignment w:val="auto"/>
        <w:outlineLvl w:val="9"/>
        <w:rPr>
          <w:rFonts w:hint="default" w:ascii="Times New Roman" w:hAnsi="Times New Roman" w:eastAsia="黑体" w:cs="Times New Roman"/>
          <w:sz w:val="32"/>
          <w:szCs w:val="32"/>
          <w:lang w:val="en-US" w:eastAsia="zh-CN"/>
        </w:rPr>
      </w:pPr>
      <w:r>
        <w:rPr>
          <w:rFonts w:hint="eastAsia" w:ascii="Times New Roman" w:hAnsi="Times New Roman" w:eastAsia="黑体" w:cs="Times New Roman"/>
          <w:kern w:val="2"/>
          <w:sz w:val="32"/>
          <w:szCs w:val="32"/>
          <w:lang w:val="en-US" w:eastAsia="zh-CN" w:bidi="ar-SA"/>
        </w:rPr>
        <w:t>二、</w:t>
      </w:r>
      <w:r>
        <w:rPr>
          <w:rFonts w:hint="default" w:ascii="Times New Roman" w:hAnsi="Times New Roman" w:eastAsia="黑体" w:cs="Times New Roman"/>
          <w:sz w:val="32"/>
          <w:szCs w:val="32"/>
          <w:lang w:val="en-US" w:eastAsia="zh-CN"/>
        </w:rPr>
        <w:t>关于政府性基金的情况说明</w:t>
      </w:r>
    </w:p>
    <w:p w14:paraId="66995CFF">
      <w:pPr>
        <w:keepNext w:val="0"/>
        <w:keepLines w:val="0"/>
        <w:pageBreakBefore w:val="0"/>
        <w:widowControl w:val="0"/>
        <w:numPr>
          <w:numId w:val="0"/>
        </w:numPr>
        <w:pBdr>
          <w:bottom w:val="single" w:color="FFFFFF" w:sz="4" w:space="31"/>
        </w:pBdr>
        <w:kinsoku/>
        <w:wordWrap/>
        <w:overflowPunct/>
        <w:topLinePunct w:val="0"/>
        <w:autoSpaceDE/>
        <w:autoSpaceDN/>
        <w:bidi w:val="0"/>
        <w:adjustRightInd/>
        <w:snapToGrid/>
        <w:spacing w:line="576" w:lineRule="exact"/>
        <w:ind w:right="0" w:rightChars="0" w:firstLine="640" w:firstLineChars="200"/>
        <w:jc w:val="left"/>
        <w:textAlignment w:val="auto"/>
        <w:outlineLvl w:val="9"/>
        <w:rPr>
          <w:rFonts w:hint="default" w:ascii="Times New Roman" w:hAnsi="Times New Roman" w:eastAsia="仿宋_GB2312" w:cs="Times New Roman"/>
          <w:color w:val="auto"/>
          <w:kern w:val="0"/>
          <w:sz w:val="32"/>
          <w:szCs w:val="32"/>
          <w:highlight w:val="none"/>
          <w:lang w:val="en-US" w:eastAsia="zh-CN" w:bidi="ar-SA"/>
        </w:rPr>
      </w:pPr>
      <w:r>
        <w:rPr>
          <w:rFonts w:hint="default" w:ascii="Times New Roman" w:hAnsi="Times New Roman" w:eastAsia="仿宋_GB2312" w:cs="Times New Roman"/>
          <w:color w:val="auto"/>
          <w:kern w:val="0"/>
          <w:sz w:val="32"/>
          <w:szCs w:val="32"/>
          <w:highlight w:val="none"/>
          <w:lang w:val="en-US" w:eastAsia="zh-CN" w:bidi="ar-SA"/>
        </w:rPr>
        <w:t>全区政府性基金预算收入安排31345万元，其中：当年收入12000万元</w:t>
      </w:r>
      <w:r>
        <w:rPr>
          <w:rFonts w:hint="default" w:ascii="Times New Roman" w:hAnsi="Times New Roman" w:cs="Times New Roman"/>
          <w:color w:val="auto"/>
          <w:kern w:val="0"/>
          <w:sz w:val="32"/>
          <w:szCs w:val="32"/>
          <w:highlight w:val="none"/>
          <w:lang w:val="en-US" w:eastAsia="zh-CN" w:bidi="ar-SA"/>
        </w:rPr>
        <w:t>、</w:t>
      </w:r>
      <w:r>
        <w:rPr>
          <w:rFonts w:hint="default" w:ascii="Times New Roman" w:hAnsi="Times New Roman" w:eastAsia="仿宋_GB2312" w:cs="Times New Roman"/>
          <w:color w:val="auto"/>
          <w:kern w:val="0"/>
          <w:sz w:val="32"/>
          <w:szCs w:val="32"/>
          <w:highlight w:val="none"/>
          <w:lang w:val="en-US" w:eastAsia="zh-CN" w:bidi="ar-SA"/>
        </w:rPr>
        <w:t>上级补助收入216万元</w:t>
      </w:r>
      <w:r>
        <w:rPr>
          <w:rFonts w:hint="default" w:ascii="Times New Roman" w:hAnsi="Times New Roman" w:cs="Times New Roman"/>
          <w:color w:val="auto"/>
          <w:kern w:val="0"/>
          <w:sz w:val="32"/>
          <w:szCs w:val="32"/>
          <w:highlight w:val="none"/>
          <w:lang w:val="en-US" w:eastAsia="zh-CN" w:bidi="ar-SA"/>
        </w:rPr>
        <w:t>、</w:t>
      </w:r>
      <w:r>
        <w:rPr>
          <w:rFonts w:hint="default" w:ascii="Times New Roman" w:hAnsi="Times New Roman" w:eastAsia="仿宋_GB2312" w:cs="Times New Roman"/>
          <w:color w:val="auto"/>
          <w:kern w:val="0"/>
          <w:sz w:val="32"/>
          <w:szCs w:val="32"/>
          <w:highlight w:val="none"/>
          <w:lang w:val="en-US" w:eastAsia="zh-CN" w:bidi="ar-SA"/>
        </w:rPr>
        <w:t>一般公共预算调入资金1155万元</w:t>
      </w:r>
      <w:r>
        <w:rPr>
          <w:rFonts w:hint="default" w:ascii="Times New Roman" w:hAnsi="Times New Roman" w:cs="Times New Roman"/>
          <w:color w:val="auto"/>
          <w:kern w:val="0"/>
          <w:sz w:val="32"/>
          <w:szCs w:val="32"/>
          <w:highlight w:val="none"/>
          <w:lang w:val="en-US" w:eastAsia="zh-CN" w:bidi="ar-SA"/>
        </w:rPr>
        <w:t>、</w:t>
      </w:r>
      <w:r>
        <w:rPr>
          <w:rFonts w:hint="default" w:ascii="Times New Roman" w:hAnsi="Times New Roman" w:eastAsia="仿宋_GB2312" w:cs="Times New Roman"/>
          <w:color w:val="auto"/>
          <w:kern w:val="0"/>
          <w:sz w:val="32"/>
          <w:szCs w:val="32"/>
          <w:highlight w:val="none"/>
          <w:lang w:val="en-US" w:eastAsia="zh-CN" w:bidi="ar-SA"/>
        </w:rPr>
        <w:t>上年结转结余17974万元。政府性基金预算支出安排31345万元，其中：当年支出18190万元</w:t>
      </w:r>
      <w:r>
        <w:rPr>
          <w:rFonts w:hint="default" w:ascii="Times New Roman" w:hAnsi="Times New Roman" w:cs="Times New Roman"/>
          <w:color w:val="auto"/>
          <w:kern w:val="0"/>
          <w:sz w:val="32"/>
          <w:szCs w:val="32"/>
          <w:highlight w:val="none"/>
          <w:lang w:val="en-US" w:eastAsia="zh-CN" w:bidi="ar-SA"/>
        </w:rPr>
        <w:t>、</w:t>
      </w:r>
      <w:r>
        <w:rPr>
          <w:rFonts w:hint="default" w:ascii="Times New Roman" w:hAnsi="Times New Roman" w:eastAsia="仿宋_GB2312" w:cs="Times New Roman"/>
          <w:color w:val="auto"/>
          <w:kern w:val="0"/>
          <w:sz w:val="32"/>
          <w:szCs w:val="32"/>
          <w:highlight w:val="none"/>
          <w:lang w:val="en-US" w:eastAsia="zh-CN" w:bidi="ar-SA"/>
        </w:rPr>
        <w:t>专项</w:t>
      </w:r>
      <w:r>
        <w:rPr>
          <w:rFonts w:hint="eastAsia" w:ascii="Times New Roman" w:hAnsi="Times New Roman" w:eastAsia="仿宋_GB2312" w:cs="Times New Roman"/>
          <w:color w:val="auto"/>
          <w:kern w:val="0"/>
          <w:sz w:val="32"/>
          <w:szCs w:val="32"/>
          <w:highlight w:val="none"/>
          <w:lang w:val="en-US" w:eastAsia="zh-CN" w:bidi="ar-SA"/>
        </w:rPr>
        <w:t>债务</w:t>
      </w:r>
      <w:r>
        <w:rPr>
          <w:rFonts w:hint="default" w:ascii="Times New Roman" w:hAnsi="Times New Roman" w:eastAsia="仿宋_GB2312" w:cs="Times New Roman"/>
          <w:color w:val="auto"/>
          <w:kern w:val="0"/>
          <w:sz w:val="32"/>
          <w:szCs w:val="32"/>
          <w:highlight w:val="none"/>
          <w:lang w:val="en-US" w:eastAsia="zh-CN" w:bidi="ar-SA"/>
        </w:rPr>
        <w:t>还本付息支出1155万元</w:t>
      </w:r>
      <w:r>
        <w:rPr>
          <w:rFonts w:hint="default" w:ascii="Times New Roman" w:hAnsi="Times New Roman" w:cs="Times New Roman"/>
          <w:color w:val="auto"/>
          <w:kern w:val="0"/>
          <w:sz w:val="32"/>
          <w:szCs w:val="32"/>
          <w:highlight w:val="none"/>
          <w:lang w:val="en-US" w:eastAsia="zh-CN" w:bidi="ar-SA"/>
        </w:rPr>
        <w:t>、</w:t>
      </w:r>
      <w:r>
        <w:rPr>
          <w:rFonts w:hint="default" w:ascii="Times New Roman" w:hAnsi="Times New Roman" w:eastAsia="仿宋_GB2312" w:cs="Times New Roman"/>
          <w:color w:val="auto"/>
          <w:kern w:val="0"/>
          <w:sz w:val="32"/>
          <w:szCs w:val="32"/>
          <w:highlight w:val="none"/>
          <w:lang w:val="en-US" w:eastAsia="zh-CN" w:bidi="ar-SA"/>
        </w:rPr>
        <w:t>调出资金12000万元。</w:t>
      </w:r>
    </w:p>
    <w:p w14:paraId="2F996D40">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576" w:lineRule="exact"/>
        <w:ind w:left="0" w:leftChars="0" w:right="0" w:rightChars="0" w:firstLine="640" w:firstLineChars="200"/>
        <w:jc w:val="left"/>
        <w:textAlignment w:val="auto"/>
        <w:outlineLvl w:val="9"/>
        <w:rPr>
          <w:rFonts w:hint="default" w:ascii="Times New Roman" w:hAnsi="Times New Roman" w:eastAsia="黑体" w:cs="Times New Roman"/>
          <w:sz w:val="32"/>
          <w:szCs w:val="32"/>
          <w:lang w:val="en-US" w:eastAsia="zh-CN"/>
        </w:rPr>
      </w:pPr>
      <w:r>
        <w:rPr>
          <w:rFonts w:hint="eastAsia" w:ascii="Times New Roman" w:hAnsi="Times New Roman" w:eastAsia="黑体" w:cs="Times New Roman"/>
          <w:kern w:val="2"/>
          <w:sz w:val="32"/>
          <w:szCs w:val="32"/>
          <w:lang w:val="en-US" w:eastAsia="zh-CN" w:bidi="ar-SA"/>
        </w:rPr>
        <w:t>三、</w:t>
      </w:r>
      <w:r>
        <w:rPr>
          <w:rFonts w:hint="default" w:ascii="Times New Roman" w:hAnsi="Times New Roman" w:eastAsia="黑体" w:cs="Times New Roman"/>
          <w:sz w:val="32"/>
          <w:szCs w:val="32"/>
          <w:lang w:val="en-US" w:eastAsia="zh-CN"/>
        </w:rPr>
        <w:t>关</w:t>
      </w:r>
      <w:r>
        <w:rPr>
          <w:rFonts w:hint="default" w:ascii="Times New Roman" w:hAnsi="Times New Roman" w:eastAsia="黑体" w:cs="Times New Roman"/>
          <w:sz w:val="32"/>
          <w:szCs w:val="32"/>
          <w:lang w:val="en-US" w:eastAsia="zh-CN"/>
        </w:rPr>
        <w:t>于国有资本经营预算的情况说明</w:t>
      </w:r>
    </w:p>
    <w:p w14:paraId="431EA32A">
      <w:pPr>
        <w:keepNext w:val="0"/>
        <w:keepLines w:val="0"/>
        <w:pageBreakBefore w:val="0"/>
        <w:widowControl w:val="0"/>
        <w:numPr>
          <w:numId w:val="0"/>
        </w:numPr>
        <w:pBdr>
          <w:bottom w:val="single" w:color="FFFFFF" w:sz="4" w:space="31"/>
        </w:pBdr>
        <w:kinsoku/>
        <w:wordWrap/>
        <w:overflowPunct/>
        <w:topLinePunct w:val="0"/>
        <w:autoSpaceDE/>
        <w:autoSpaceDN/>
        <w:bidi w:val="0"/>
        <w:adjustRightInd/>
        <w:snapToGrid/>
        <w:spacing w:line="576" w:lineRule="exact"/>
        <w:ind w:right="0" w:rightChars="0" w:firstLine="640" w:firstLineChars="200"/>
        <w:jc w:val="left"/>
        <w:textAlignment w:val="auto"/>
        <w:outlineLvl w:val="9"/>
        <w:rPr>
          <w:rFonts w:hint="default" w:ascii="Times New Roman" w:hAnsi="Times New Roman" w:eastAsia="仿宋_GB2312" w:cs="Times New Roman"/>
          <w:color w:val="auto"/>
          <w:kern w:val="0"/>
          <w:sz w:val="32"/>
          <w:szCs w:val="32"/>
          <w:highlight w:val="none"/>
          <w:lang w:val="en-US" w:eastAsia="zh-CN" w:bidi="ar-SA"/>
        </w:rPr>
      </w:pPr>
      <w:r>
        <w:rPr>
          <w:rFonts w:hint="default" w:ascii="Times New Roman" w:hAnsi="Times New Roman" w:eastAsia="仿宋_GB2312" w:cs="Times New Roman"/>
          <w:color w:val="auto"/>
          <w:kern w:val="0"/>
          <w:sz w:val="32"/>
          <w:szCs w:val="32"/>
          <w:highlight w:val="none"/>
          <w:lang w:val="en-US" w:eastAsia="zh-CN" w:bidi="ar-SA"/>
        </w:rPr>
        <w:t>全区国有资本经营预算收入1096万元，其中：上级补助收入473万元</w:t>
      </w:r>
      <w:r>
        <w:rPr>
          <w:rFonts w:hint="default" w:ascii="Times New Roman" w:hAnsi="Times New Roman" w:cs="Times New Roman"/>
          <w:color w:val="auto"/>
          <w:kern w:val="0"/>
          <w:sz w:val="32"/>
          <w:szCs w:val="32"/>
          <w:highlight w:val="none"/>
          <w:lang w:val="en-US" w:eastAsia="zh-CN" w:bidi="ar-SA"/>
        </w:rPr>
        <w:t>、</w:t>
      </w:r>
      <w:r>
        <w:rPr>
          <w:rFonts w:hint="default" w:ascii="Times New Roman" w:hAnsi="Times New Roman" w:eastAsia="仿宋_GB2312" w:cs="Times New Roman"/>
          <w:color w:val="auto"/>
          <w:kern w:val="0"/>
          <w:sz w:val="32"/>
          <w:szCs w:val="32"/>
          <w:highlight w:val="none"/>
          <w:lang w:val="en-US" w:eastAsia="zh-CN" w:bidi="ar-SA"/>
        </w:rPr>
        <w:t>上年结转结余623万元。国有资本经营预算支出安排1096万元。</w:t>
      </w:r>
    </w:p>
    <w:p w14:paraId="1817BC91">
      <w:pPr>
        <w:keepNext w:val="0"/>
        <w:keepLines w:val="0"/>
        <w:pageBreakBefore w:val="0"/>
        <w:widowControl w:val="0"/>
        <w:numPr>
          <w:numId w:val="0"/>
        </w:numPr>
        <w:pBdr>
          <w:bottom w:val="single" w:color="FFFFFF" w:sz="4" w:space="31"/>
        </w:pBdr>
        <w:kinsoku/>
        <w:wordWrap/>
        <w:overflowPunct/>
        <w:topLinePunct w:val="0"/>
        <w:autoSpaceDE/>
        <w:autoSpaceDN/>
        <w:bidi w:val="0"/>
        <w:adjustRightInd/>
        <w:snapToGrid/>
        <w:spacing w:line="576" w:lineRule="exact"/>
        <w:ind w:right="0" w:rightChars="0" w:firstLine="640" w:firstLineChars="200"/>
        <w:jc w:val="left"/>
        <w:textAlignment w:val="auto"/>
        <w:outlineLvl w:val="9"/>
        <w:rPr>
          <w:rFonts w:hint="default"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四、</w:t>
      </w:r>
      <w:r>
        <w:rPr>
          <w:rFonts w:hint="default" w:ascii="Times New Roman" w:hAnsi="Times New Roman" w:eastAsia="黑体" w:cs="Times New Roman"/>
          <w:sz w:val="32"/>
          <w:szCs w:val="32"/>
          <w:lang w:val="en-US" w:eastAsia="zh-CN"/>
        </w:rPr>
        <w:t>关于社会</w:t>
      </w:r>
      <w:r>
        <w:rPr>
          <w:rFonts w:hint="default" w:ascii="Times New Roman" w:hAnsi="Times New Roman" w:eastAsia="黑体" w:cs="Times New Roman"/>
          <w:sz w:val="32"/>
          <w:szCs w:val="32"/>
          <w:lang w:val="en-US" w:eastAsia="zh-CN"/>
        </w:rPr>
        <w:t>保险基金预算的情况说明</w:t>
      </w:r>
    </w:p>
    <w:p w14:paraId="5BEC4237">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576" w:lineRule="exact"/>
        <w:ind w:right="0" w:rightChars="0" w:firstLine="640" w:firstLineChars="200"/>
        <w:jc w:val="left"/>
        <w:textAlignment w:val="auto"/>
        <w:outlineLvl w:val="9"/>
        <w:rPr>
          <w:rFonts w:hint="eastAsia" w:ascii="Times New Roman" w:hAnsi="Times New Roman" w:eastAsia="仿宋_GB2312" w:cs="Times New Roman"/>
          <w:color w:val="auto"/>
          <w:kern w:val="0"/>
          <w:sz w:val="32"/>
          <w:szCs w:val="32"/>
          <w:highlight w:val="none"/>
          <w:lang w:val="en-US" w:eastAsia="zh-CN" w:bidi="ar-SA"/>
        </w:rPr>
      </w:pPr>
      <w:r>
        <w:rPr>
          <w:rFonts w:hint="default" w:ascii="Times New Roman" w:hAnsi="Times New Roman" w:eastAsia="仿宋_GB2312" w:cs="Times New Roman"/>
          <w:color w:val="auto"/>
          <w:kern w:val="0"/>
          <w:sz w:val="32"/>
          <w:szCs w:val="32"/>
          <w:highlight w:val="none"/>
          <w:lang w:val="en-US" w:eastAsia="zh-CN" w:bidi="ar-SA"/>
        </w:rPr>
        <w:t>全区社会保险基金预算上年结余40950万元，当年收入安排10843万元，当年支出安排6475万元，</w:t>
      </w:r>
      <w:r>
        <w:rPr>
          <w:rFonts w:hint="eastAsia" w:ascii="Times New Roman" w:hAnsi="Times New Roman" w:eastAsia="仿宋_GB2312" w:cs="Times New Roman"/>
          <w:color w:val="auto"/>
          <w:kern w:val="0"/>
          <w:sz w:val="32"/>
          <w:szCs w:val="32"/>
          <w:highlight w:val="none"/>
          <w:lang w:val="en-US" w:eastAsia="zh-CN" w:bidi="ar-SA"/>
        </w:rPr>
        <w:t>年终结余</w:t>
      </w:r>
      <w:r>
        <w:rPr>
          <w:rFonts w:hint="default" w:ascii="Times New Roman" w:hAnsi="Times New Roman" w:eastAsia="仿宋_GB2312" w:cs="Times New Roman"/>
          <w:color w:val="auto"/>
          <w:kern w:val="0"/>
          <w:sz w:val="32"/>
          <w:szCs w:val="32"/>
          <w:highlight w:val="none"/>
          <w:lang w:val="en-US" w:eastAsia="zh-CN" w:bidi="ar-SA"/>
        </w:rPr>
        <w:t>45318万元。</w:t>
      </w:r>
      <w:r>
        <w:rPr>
          <w:rFonts w:hint="eastAsia" w:ascii="Times New Roman" w:hAnsi="Times New Roman" w:eastAsia="仿宋_GB2312" w:cs="Times New Roman"/>
          <w:color w:val="auto"/>
          <w:kern w:val="0"/>
          <w:sz w:val="32"/>
          <w:szCs w:val="32"/>
          <w:highlight w:val="none"/>
          <w:lang w:val="en-US" w:eastAsia="zh-CN" w:bidi="ar-SA"/>
        </w:rPr>
        <w:t xml:space="preserve">  </w:t>
      </w:r>
    </w:p>
    <w:p w14:paraId="1F28B5E7">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576" w:lineRule="exact"/>
        <w:ind w:left="0" w:leftChars="0" w:right="0" w:rightChars="0" w:firstLine="640" w:firstLineChars="200"/>
        <w:jc w:val="left"/>
        <w:textAlignment w:val="auto"/>
        <w:outlineLvl w:val="9"/>
        <w:rPr>
          <w:rFonts w:hint="default" w:ascii="Times New Roman" w:hAnsi="Times New Roman" w:eastAsia="黑体" w:cs="Times New Roman"/>
          <w:sz w:val="32"/>
          <w:szCs w:val="32"/>
          <w:lang w:val="en-US" w:eastAsia="zh-CN"/>
        </w:rPr>
      </w:pPr>
      <w:r>
        <w:rPr>
          <w:rFonts w:hint="eastAsia" w:ascii="Times New Roman" w:hAnsi="Times New Roman" w:eastAsia="黑体" w:cs="Times New Roman"/>
          <w:kern w:val="2"/>
          <w:sz w:val="32"/>
          <w:szCs w:val="32"/>
          <w:lang w:val="en-US" w:eastAsia="zh-CN" w:bidi="ar-SA"/>
        </w:rPr>
        <w:t>五、</w:t>
      </w:r>
      <w:r>
        <w:rPr>
          <w:rFonts w:hint="default" w:ascii="Times New Roman" w:hAnsi="Times New Roman" w:eastAsia="黑体" w:cs="Times New Roman"/>
          <w:sz w:val="32"/>
          <w:szCs w:val="32"/>
          <w:lang w:val="en-US" w:eastAsia="zh-CN"/>
        </w:rPr>
        <w:t>转移支付安排情况</w:t>
      </w:r>
    </w:p>
    <w:p w14:paraId="1C7127C1">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576" w:lineRule="exact"/>
        <w:ind w:left="0" w:leftChars="0" w:right="0" w:rightChars="0" w:firstLine="640" w:firstLineChars="200"/>
        <w:jc w:val="left"/>
        <w:textAlignment w:val="auto"/>
        <w:outlineLvl w:val="9"/>
        <w:rPr>
          <w:rFonts w:hint="default" w:ascii="Times New Roman" w:hAnsi="Times New Roman" w:eastAsia="方正仿宋_GB2312" w:cs="Times New Roman"/>
          <w:sz w:val="32"/>
          <w:szCs w:val="32"/>
          <w:lang w:val="en-US" w:eastAsia="zh-CN"/>
        </w:rPr>
      </w:pPr>
      <w:r>
        <w:rPr>
          <w:rFonts w:hint="eastAsia" w:ascii="Times New Roman" w:hAnsi="Times New Roman" w:eastAsia="黑体" w:cs="Times New Roman"/>
          <w:sz w:val="32"/>
          <w:szCs w:val="32"/>
          <w:lang w:val="en-US" w:eastAsia="zh-CN"/>
        </w:rPr>
        <w:t>2</w:t>
      </w:r>
      <w:r>
        <w:rPr>
          <w:rFonts w:hint="default" w:ascii="Times New Roman" w:hAnsi="Times New Roman" w:eastAsia="方正仿宋_GB2312" w:cs="Times New Roman"/>
          <w:sz w:val="32"/>
          <w:szCs w:val="32"/>
          <w:lang w:val="en-US" w:eastAsia="zh-CN"/>
        </w:rPr>
        <w:t>02</w:t>
      </w:r>
      <w:r>
        <w:rPr>
          <w:rFonts w:hint="eastAsia" w:ascii="Times New Roman" w:hAnsi="Times New Roman" w:eastAsia="方正仿宋_GB2312" w:cs="Times New Roman"/>
          <w:sz w:val="32"/>
          <w:szCs w:val="32"/>
          <w:lang w:val="en-US" w:eastAsia="zh-CN"/>
        </w:rPr>
        <w:t>6</w:t>
      </w:r>
      <w:r>
        <w:rPr>
          <w:rFonts w:hint="default" w:ascii="Times New Roman" w:hAnsi="Times New Roman" w:eastAsia="方正仿宋_GB2312" w:cs="Times New Roman"/>
          <w:sz w:val="32"/>
          <w:szCs w:val="32"/>
          <w:lang w:val="en-US" w:eastAsia="zh-CN"/>
        </w:rPr>
        <w:t>年西宁市对城东区税收返还和转移支付收入预算合计为</w:t>
      </w:r>
      <w:r>
        <w:rPr>
          <w:rFonts w:hint="eastAsia" w:ascii="Times New Roman" w:hAnsi="Times New Roman" w:eastAsia="方正仿宋_GB2312" w:cs="Times New Roman"/>
          <w:sz w:val="32"/>
          <w:szCs w:val="32"/>
          <w:lang w:val="en-US" w:eastAsia="zh-CN"/>
        </w:rPr>
        <w:t>155044</w:t>
      </w:r>
      <w:r>
        <w:rPr>
          <w:rFonts w:hint="default" w:ascii="Times New Roman" w:hAnsi="Times New Roman" w:eastAsia="方正仿宋_GB2312" w:cs="Times New Roman"/>
          <w:sz w:val="32"/>
          <w:szCs w:val="32"/>
          <w:lang w:val="en-US" w:eastAsia="zh-CN"/>
        </w:rPr>
        <w:t>万元，其中：返还性收入27656万元、一般性转移支付收入</w:t>
      </w:r>
      <w:r>
        <w:rPr>
          <w:rFonts w:hint="eastAsia" w:ascii="Times New Roman" w:hAnsi="Times New Roman" w:eastAsia="方正仿宋_GB2312" w:cs="Times New Roman"/>
          <w:sz w:val="32"/>
          <w:szCs w:val="32"/>
          <w:lang w:val="en-US" w:eastAsia="zh-CN"/>
        </w:rPr>
        <w:t>125535</w:t>
      </w:r>
      <w:r>
        <w:rPr>
          <w:rFonts w:hint="default" w:ascii="Times New Roman" w:hAnsi="Times New Roman" w:eastAsia="方正仿宋_GB2312" w:cs="Times New Roman"/>
          <w:sz w:val="32"/>
          <w:szCs w:val="32"/>
          <w:lang w:val="en-US" w:eastAsia="zh-CN"/>
        </w:rPr>
        <w:t>万元、专项转移支付收入</w:t>
      </w:r>
      <w:r>
        <w:rPr>
          <w:rFonts w:hint="eastAsia" w:ascii="Times New Roman" w:hAnsi="Times New Roman" w:eastAsia="方正仿宋_GB2312" w:cs="Times New Roman"/>
          <w:sz w:val="32"/>
          <w:szCs w:val="32"/>
          <w:lang w:val="en-US" w:eastAsia="zh-CN"/>
        </w:rPr>
        <w:t>1853</w:t>
      </w:r>
      <w:r>
        <w:rPr>
          <w:rFonts w:hint="default" w:ascii="Times New Roman" w:hAnsi="Times New Roman" w:eastAsia="方正仿宋_GB2312" w:cs="Times New Roman"/>
          <w:sz w:val="32"/>
          <w:szCs w:val="32"/>
          <w:lang w:val="en-US" w:eastAsia="zh-CN"/>
        </w:rPr>
        <w:t>万元。</w:t>
      </w:r>
    </w:p>
    <w:p w14:paraId="759BA92D">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576" w:lineRule="exact"/>
        <w:ind w:left="0" w:leftChars="0" w:right="0" w:rightChars="0" w:firstLine="640" w:firstLineChars="200"/>
        <w:jc w:val="left"/>
        <w:textAlignment w:val="auto"/>
        <w:outlineLvl w:val="9"/>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val="en-US" w:eastAsia="zh-CN"/>
        </w:rPr>
        <w:t>1994年分税制财政体制改革后，引入了税收返还制度。现行税收返还包括增值税和消费税返还、所得税基数返还、成品油价格返还和税费改革税收返还以及营改增税收返还，其性质是维护既得利益，是旧体制的延续，不具有均等化功能。</w:t>
      </w:r>
    </w:p>
    <w:p w14:paraId="4179321F">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576" w:lineRule="exact"/>
        <w:ind w:left="0" w:leftChars="0" w:right="0" w:rightChars="0" w:firstLine="640" w:firstLineChars="200"/>
        <w:jc w:val="left"/>
        <w:textAlignment w:val="auto"/>
        <w:outlineLvl w:val="9"/>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val="en-US" w:eastAsia="zh-CN"/>
        </w:rPr>
        <w:t>一般性转移支付是一种财力性补助，为均衡地区间的基本财 力，由地方政府统筹安排使用的转移资金，这类转移支付有十多 项，主要包括均衡性转移支付、县级基本财力保障机制奖补资金、 重点生态功能区转移支付、农村税费改革转移支付、调整工资转 移支付，以及义务教育、基本养老保险和低保、农村综合改革、 基本公卫等转移支付。其中均衡性转移支付规模最大，是有效缓 解基层财政困难、缩小地区间财力差距的一项重要财政制度。 一 般性转移支付预算按照相关标准和计算方法，采取因素法编制。专项转移支付按照法律、行政法规和相关规定设立，用于办理特定事项的转移资金。</w:t>
      </w:r>
    </w:p>
    <w:p w14:paraId="64399804">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576" w:lineRule="exact"/>
        <w:ind w:left="0" w:leftChars="0" w:right="0" w:rightChars="0" w:firstLine="640" w:firstLineChars="200"/>
        <w:jc w:val="left"/>
        <w:textAlignment w:val="auto"/>
        <w:outlineLvl w:val="9"/>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val="en-US" w:eastAsia="zh-CN"/>
        </w:rPr>
        <w:t>专项转移支付按照集中资金、突出重点、 专款专用的要求，重点用于公共安全、文化体育与传媒、农林水、 教育、医疗卫生、社会保障和就业、交通运输、节能环保等领域。专项转移支付预算根据项目对应的具体管理办法，采取项目法或者因素法编制。</w:t>
      </w:r>
    </w:p>
    <w:p w14:paraId="11F3AFCC">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576" w:lineRule="exact"/>
        <w:ind w:left="0" w:leftChars="0" w:right="0" w:rightChars="0" w:firstLine="640" w:firstLineChars="200"/>
        <w:jc w:val="left"/>
        <w:textAlignment w:val="auto"/>
        <w:outlineLvl w:val="9"/>
        <w:rPr>
          <w:rFonts w:hint="default" w:ascii="Times New Roman" w:hAnsi="Times New Roman" w:eastAsia="仿宋_GB2312" w:cs="Times New Roman"/>
          <w:snapToGrid w:val="0"/>
          <w:color w:val="auto"/>
          <w:spacing w:val="7"/>
          <w:kern w:val="0"/>
          <w:sz w:val="32"/>
          <w:szCs w:val="32"/>
          <w:highlight w:val="none"/>
          <w:lang w:val="en-US" w:eastAsia="zh-CN" w:bidi="ar-SA"/>
        </w:rPr>
      </w:pPr>
      <w:r>
        <w:rPr>
          <w:rFonts w:hint="eastAsia" w:ascii="Times New Roman" w:hAnsi="Times New Roman" w:eastAsia="黑体" w:cs="Times New Roman"/>
          <w:kern w:val="2"/>
          <w:sz w:val="32"/>
          <w:szCs w:val="32"/>
          <w:lang w:val="en-US" w:eastAsia="zh-CN" w:bidi="ar-SA"/>
        </w:rPr>
        <w:t>六、</w:t>
      </w:r>
      <w:r>
        <w:rPr>
          <w:rFonts w:hint="default" w:ascii="Times New Roman" w:hAnsi="Times New Roman" w:eastAsia="黑体" w:cs="Times New Roman"/>
          <w:kern w:val="2"/>
          <w:sz w:val="32"/>
          <w:szCs w:val="32"/>
          <w:lang w:val="en-US" w:eastAsia="zh-CN" w:bidi="ar-SA"/>
        </w:rPr>
        <w:t>举借债务</w:t>
      </w:r>
      <w:r>
        <w:rPr>
          <w:rFonts w:hint="default" w:ascii="Times New Roman" w:hAnsi="Times New Roman" w:eastAsia="黑体" w:cs="Times New Roman"/>
          <w:sz w:val="32"/>
          <w:szCs w:val="32"/>
          <w:lang w:val="en-US" w:eastAsia="zh-CN"/>
        </w:rPr>
        <w:t>有关情况</w:t>
      </w:r>
    </w:p>
    <w:p w14:paraId="5FF92361">
      <w:pPr>
        <w:keepNext w:val="0"/>
        <w:keepLines w:val="0"/>
        <w:pageBreakBefore w:val="0"/>
        <w:widowControl w:val="0"/>
        <w:numPr>
          <w:numId w:val="0"/>
        </w:numPr>
        <w:pBdr>
          <w:bottom w:val="single" w:color="FFFFFF" w:sz="4" w:space="31"/>
        </w:pBdr>
        <w:kinsoku/>
        <w:wordWrap/>
        <w:overflowPunct/>
        <w:topLinePunct w:val="0"/>
        <w:autoSpaceDE/>
        <w:autoSpaceDN/>
        <w:bidi w:val="0"/>
        <w:adjustRightInd/>
        <w:snapToGrid/>
        <w:spacing w:line="576" w:lineRule="exact"/>
        <w:ind w:right="0" w:rightChars="0" w:firstLine="668" w:firstLineChars="200"/>
        <w:jc w:val="left"/>
        <w:textAlignment w:val="auto"/>
        <w:outlineLvl w:val="9"/>
        <w:rPr>
          <w:rFonts w:hint="default" w:ascii="Times New Roman" w:hAnsi="Times New Roman" w:eastAsia="仿宋_GB2312" w:cs="Times New Roman"/>
          <w:snapToGrid w:val="0"/>
          <w:color w:val="auto"/>
          <w:spacing w:val="7"/>
          <w:kern w:val="0"/>
          <w:sz w:val="32"/>
          <w:szCs w:val="32"/>
          <w:highlight w:val="none"/>
          <w:lang w:val="en-US" w:eastAsia="zh-CN" w:bidi="ar-SA"/>
        </w:rPr>
      </w:pPr>
      <w:r>
        <w:rPr>
          <w:rFonts w:hint="default" w:ascii="Times New Roman" w:hAnsi="Times New Roman" w:eastAsia="仿宋_GB2312" w:cs="Times New Roman"/>
          <w:snapToGrid w:val="0"/>
          <w:color w:val="auto"/>
          <w:spacing w:val="7"/>
          <w:kern w:val="0"/>
          <w:sz w:val="32"/>
          <w:szCs w:val="32"/>
          <w:highlight w:val="none"/>
          <w:lang w:val="en-US" w:eastAsia="zh-CN" w:bidi="ar-SA"/>
        </w:rPr>
        <w:t>2025年末，全区政府债务限额122754万元，其中：一般债务57482万元、专项债务65272万元。2025年末，全区政府债务余额95954万元，其中：一般债务57482万元、专项债务38472万元。全区债务指标控制在预警线以内，全区债务率＜120%，处于绿色安全范围内，债务风险总体可控，债务规模与经济社会发展水平相适应。</w:t>
      </w:r>
    </w:p>
    <w:p w14:paraId="5FE498E3">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七、预算绩效工作开展情况</w:t>
      </w:r>
    </w:p>
    <w:p w14:paraId="70E05EDC">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textAlignment w:val="auto"/>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val="en-US" w:eastAsia="zh-CN"/>
        </w:rPr>
        <w:t>预算绩效管理强调公共支出的责任和效率，要求公共部门尤 其是政府部门花最少的资金、办尽量多的实事，不断改进和提升 服务水平和服务质量。</w:t>
      </w:r>
    </w:p>
    <w:p w14:paraId="35CE1F75">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3" w:firstLineChars="200"/>
        <w:textAlignment w:val="auto"/>
        <w:rPr>
          <w:rFonts w:hint="default" w:ascii="Times New Roman" w:hAnsi="Times New Roman" w:eastAsia="楷体" w:cs="Times New Roman"/>
          <w:b/>
          <w:bCs/>
          <w:sz w:val="32"/>
          <w:szCs w:val="32"/>
          <w:lang w:val="en-US" w:eastAsia="zh-CN"/>
        </w:rPr>
      </w:pPr>
      <w:r>
        <w:rPr>
          <w:rFonts w:hint="default" w:ascii="Times New Roman" w:hAnsi="Times New Roman" w:eastAsia="楷体" w:cs="Times New Roman"/>
          <w:b/>
          <w:bCs/>
          <w:sz w:val="32"/>
          <w:szCs w:val="32"/>
          <w:lang w:val="en-US" w:eastAsia="zh-CN"/>
        </w:rPr>
        <w:t>(一)202</w:t>
      </w:r>
      <w:r>
        <w:rPr>
          <w:rFonts w:hint="eastAsia" w:ascii="Times New Roman" w:hAnsi="Times New Roman" w:eastAsia="楷体" w:cs="Times New Roman"/>
          <w:b/>
          <w:bCs/>
          <w:sz w:val="32"/>
          <w:szCs w:val="32"/>
          <w:lang w:val="en-US" w:eastAsia="zh-CN"/>
        </w:rPr>
        <w:t>5</w:t>
      </w:r>
      <w:r>
        <w:rPr>
          <w:rFonts w:hint="default" w:ascii="Times New Roman" w:hAnsi="Times New Roman" w:eastAsia="楷体" w:cs="Times New Roman"/>
          <w:b/>
          <w:bCs/>
          <w:sz w:val="32"/>
          <w:szCs w:val="32"/>
          <w:lang w:val="en-US" w:eastAsia="zh-CN"/>
        </w:rPr>
        <w:t>年全区预算绩效管理</w:t>
      </w:r>
      <w:r>
        <w:rPr>
          <w:rFonts w:hint="eastAsia" w:ascii="Times New Roman" w:hAnsi="Times New Roman" w:eastAsia="楷体" w:cs="Times New Roman"/>
          <w:b/>
          <w:bCs/>
          <w:sz w:val="32"/>
          <w:szCs w:val="32"/>
          <w:lang w:val="en-US" w:eastAsia="zh-CN"/>
        </w:rPr>
        <w:t>基础工作</w:t>
      </w:r>
    </w:p>
    <w:p w14:paraId="18541DDA">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576" w:lineRule="exact"/>
        <w:ind w:firstLine="643" w:firstLineChars="200"/>
        <w:textAlignment w:val="auto"/>
        <w:rPr>
          <w:rFonts w:hint="eastAsia" w:ascii="Times New Roman" w:hAnsi="Times New Roman" w:eastAsia="仿宋_GB2312" w:cs="Times New Roman"/>
          <w:snapToGrid w:val="0"/>
          <w:color w:val="000000"/>
          <w:kern w:val="0"/>
          <w:sz w:val="32"/>
          <w:szCs w:val="32"/>
          <w:highlight w:val="none"/>
          <w:lang w:val="en-US" w:eastAsia="zh-CN" w:bidi="ar-SA"/>
        </w:rPr>
      </w:pPr>
      <w:r>
        <w:rPr>
          <w:rFonts w:hint="eastAsia" w:ascii="Times New Roman" w:hAnsi="Times New Roman" w:eastAsia="仿宋_GB2312" w:cs="Times New Roman"/>
          <w:b/>
          <w:bCs/>
          <w:snapToGrid w:val="0"/>
          <w:color w:val="000000"/>
          <w:kern w:val="0"/>
          <w:sz w:val="32"/>
          <w:szCs w:val="32"/>
          <w:highlight w:val="none"/>
          <w:lang w:val="en-US" w:eastAsia="zh-CN" w:bidi="ar-SA"/>
        </w:rPr>
        <w:t>一是</w:t>
      </w:r>
      <w:r>
        <w:rPr>
          <w:rFonts w:hint="eastAsia" w:ascii="Times New Roman" w:hAnsi="Times New Roman" w:eastAsia="仿宋_GB2312" w:cs="Times New Roman"/>
          <w:snapToGrid w:val="0"/>
          <w:color w:val="000000"/>
          <w:kern w:val="0"/>
          <w:sz w:val="32"/>
          <w:szCs w:val="32"/>
          <w:highlight w:val="none"/>
          <w:lang w:val="en-US" w:eastAsia="zh-CN" w:bidi="ar-SA"/>
        </w:rPr>
        <w:t>夯实制度基础。结合工作实际，制定了《城东区预算绩效目标管理办法》（东区财字〔2022〕104号）《城东区区级财政预算绩效结果应用管理暂行办法》（东区财字〔2022〕108号）《城东区项目支出绩效评价暂行办法》（东区财字〔2022〕109号）等制度，进一步推动绩效管理提质增效。</w:t>
      </w:r>
      <w:r>
        <w:rPr>
          <w:rFonts w:hint="eastAsia" w:ascii="Times New Roman" w:hAnsi="Times New Roman" w:eastAsia="仿宋_GB2312" w:cs="Times New Roman"/>
          <w:b/>
          <w:bCs/>
          <w:snapToGrid w:val="0"/>
          <w:color w:val="000000"/>
          <w:kern w:val="0"/>
          <w:sz w:val="32"/>
          <w:szCs w:val="32"/>
          <w:highlight w:val="none"/>
          <w:lang w:val="en-US" w:eastAsia="zh-CN" w:bidi="ar-SA"/>
        </w:rPr>
        <w:t>二是</w:t>
      </w:r>
      <w:r>
        <w:rPr>
          <w:rFonts w:hint="eastAsia" w:ascii="Times New Roman" w:hAnsi="Times New Roman" w:eastAsia="仿宋_GB2312" w:cs="Times New Roman"/>
          <w:snapToGrid w:val="0"/>
          <w:color w:val="000000"/>
          <w:kern w:val="0"/>
          <w:sz w:val="32"/>
          <w:szCs w:val="32"/>
          <w:highlight w:val="none"/>
          <w:lang w:val="en-US" w:eastAsia="zh-CN" w:bidi="ar-SA"/>
        </w:rPr>
        <w:t>组织全区财务人员学习2次，将《青海省预算绩效管理实施条例》、《绩效目标设定》、《坚持目标导向，夯实绩效监控，提升自评质量，实现绩效全过程走深走实》列入全区财务人员能力提升培训班课题讨论；组织全局工作人员学习3次，深入学习领会《《青海省预算绩效管理实施条例》》的核心要义，并通过《总结分析2024年省市对下绩效考评扣分点》《2025年上级对下级政府财政运行综合绩效考评体系解析》财政局业务课堂培训助推财政绩效管理工作高质量发展。</w:t>
      </w:r>
      <w:r>
        <w:rPr>
          <w:rFonts w:hint="eastAsia" w:ascii="Times New Roman" w:hAnsi="Times New Roman" w:eastAsia="仿宋_GB2312" w:cs="Times New Roman"/>
          <w:b/>
          <w:bCs/>
          <w:snapToGrid w:val="0"/>
          <w:color w:val="000000"/>
          <w:kern w:val="0"/>
          <w:sz w:val="32"/>
          <w:szCs w:val="32"/>
          <w:highlight w:val="none"/>
          <w:lang w:val="en-US" w:eastAsia="zh-CN" w:bidi="ar-SA"/>
        </w:rPr>
        <w:t>三是</w:t>
      </w:r>
      <w:r>
        <w:rPr>
          <w:rFonts w:hint="eastAsia" w:ascii="Times New Roman" w:hAnsi="Times New Roman" w:eastAsia="仿宋_GB2312" w:cs="Times New Roman"/>
          <w:snapToGrid w:val="0"/>
          <w:color w:val="000000"/>
          <w:kern w:val="0"/>
          <w:sz w:val="32"/>
          <w:szCs w:val="32"/>
          <w:highlight w:val="none"/>
          <w:lang w:val="en-US" w:eastAsia="zh-CN" w:bidi="ar-SA"/>
        </w:rPr>
        <w:t>依据省级专家库建立完善区级预算绩效评价专家库，充分发挥不同领域、不同行业、不同专业专家对绩效管理的支撑作用，提高预算绩效管理工作质量。</w:t>
      </w:r>
      <w:r>
        <w:rPr>
          <w:rFonts w:hint="eastAsia" w:ascii="Times New Roman" w:hAnsi="Times New Roman" w:eastAsia="仿宋_GB2312" w:cs="Times New Roman"/>
          <w:b/>
          <w:bCs/>
          <w:snapToGrid w:val="0"/>
          <w:color w:val="000000"/>
          <w:kern w:val="0"/>
          <w:sz w:val="32"/>
          <w:szCs w:val="32"/>
          <w:highlight w:val="none"/>
          <w:lang w:val="en-US" w:eastAsia="zh-CN" w:bidi="ar-SA"/>
        </w:rPr>
        <w:t>四是</w:t>
      </w:r>
      <w:r>
        <w:rPr>
          <w:rFonts w:hint="eastAsia" w:ascii="Times New Roman" w:hAnsi="Times New Roman" w:eastAsia="仿宋_GB2312" w:cs="Times New Roman"/>
          <w:snapToGrid w:val="0"/>
          <w:color w:val="000000"/>
          <w:kern w:val="0"/>
          <w:sz w:val="32"/>
          <w:szCs w:val="32"/>
          <w:highlight w:val="none"/>
          <w:lang w:val="en-US" w:eastAsia="zh-CN" w:bidi="ar-SA"/>
        </w:rPr>
        <w:t>建设预算绩效指标库，为预算单位提供辅助工具，发挥指导作用，提高预</w:t>
      </w:r>
      <w:bookmarkStart w:id="0" w:name="_GoBack"/>
      <w:bookmarkEnd w:id="0"/>
      <w:r>
        <w:rPr>
          <w:rFonts w:hint="eastAsia" w:ascii="Times New Roman" w:hAnsi="Times New Roman" w:eastAsia="仿宋_GB2312" w:cs="Times New Roman"/>
          <w:snapToGrid w:val="0"/>
          <w:color w:val="000000"/>
          <w:kern w:val="0"/>
          <w:sz w:val="32"/>
          <w:szCs w:val="32"/>
          <w:highlight w:val="none"/>
          <w:lang w:val="en-US" w:eastAsia="zh-CN" w:bidi="ar-SA"/>
        </w:rPr>
        <w:t>算绩效目标申报、绩效评价工作的效率。</w:t>
      </w:r>
      <w:r>
        <w:rPr>
          <w:rFonts w:hint="eastAsia" w:ascii="Times New Roman" w:hAnsi="Times New Roman" w:eastAsia="仿宋_GB2312" w:cs="Times New Roman"/>
          <w:b/>
          <w:bCs/>
          <w:snapToGrid w:val="0"/>
          <w:color w:val="000000"/>
          <w:kern w:val="0"/>
          <w:sz w:val="32"/>
          <w:szCs w:val="32"/>
          <w:highlight w:val="none"/>
          <w:lang w:val="en-US" w:eastAsia="zh-CN" w:bidi="ar-SA"/>
        </w:rPr>
        <w:t>五是</w:t>
      </w:r>
      <w:r>
        <w:rPr>
          <w:rFonts w:hint="eastAsia" w:ascii="Times New Roman" w:hAnsi="Times New Roman" w:eastAsia="仿宋_GB2312" w:cs="Times New Roman"/>
          <w:snapToGrid w:val="0"/>
          <w:color w:val="000000"/>
          <w:kern w:val="0"/>
          <w:sz w:val="32"/>
          <w:szCs w:val="32"/>
          <w:highlight w:val="none"/>
          <w:lang w:val="en-US" w:eastAsia="zh-CN" w:bidi="ar-SA"/>
        </w:rPr>
        <w:t xml:space="preserve">切实加强对财政预算绩效管理工作的组织领导，明确预算绩效管理工作分管领导，指定专人负责绩效管理工作，保证此项工作顺利开展。  </w:t>
      </w:r>
    </w:p>
    <w:p w14:paraId="3DC86703">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576" w:lineRule="exact"/>
        <w:ind w:firstLine="643" w:firstLineChars="200"/>
        <w:textAlignment w:val="auto"/>
        <w:rPr>
          <w:rFonts w:hint="default" w:ascii="Times New Roman" w:hAnsi="Times New Roman" w:eastAsia="楷体" w:cs="Times New Roman"/>
          <w:b/>
          <w:bCs/>
          <w:sz w:val="32"/>
          <w:szCs w:val="32"/>
          <w:lang w:val="en-US" w:eastAsia="zh-CN"/>
        </w:rPr>
      </w:pPr>
      <w:r>
        <w:rPr>
          <w:rFonts w:hint="default" w:ascii="Times New Roman" w:hAnsi="Times New Roman" w:eastAsia="楷体" w:cs="Times New Roman"/>
          <w:b/>
          <w:bCs/>
          <w:sz w:val="32"/>
          <w:szCs w:val="32"/>
          <w:lang w:val="en-US" w:eastAsia="zh-CN"/>
        </w:rPr>
        <w:t>(二)</w:t>
      </w:r>
      <w:r>
        <w:rPr>
          <w:rFonts w:hint="eastAsia" w:ascii="Times New Roman" w:hAnsi="Times New Roman" w:eastAsia="楷体" w:cs="Times New Roman"/>
          <w:b/>
          <w:bCs/>
          <w:sz w:val="32"/>
          <w:szCs w:val="32"/>
          <w:lang w:val="en-US" w:eastAsia="zh-CN"/>
        </w:rPr>
        <w:t xml:space="preserve"> </w:t>
      </w:r>
      <w:r>
        <w:rPr>
          <w:rFonts w:hint="default" w:ascii="Times New Roman" w:hAnsi="Times New Roman" w:eastAsia="楷体" w:cs="Times New Roman"/>
          <w:b/>
          <w:bCs/>
          <w:sz w:val="32"/>
          <w:szCs w:val="32"/>
          <w:lang w:val="en-US" w:eastAsia="zh-CN"/>
        </w:rPr>
        <w:t>202</w:t>
      </w:r>
      <w:r>
        <w:rPr>
          <w:rFonts w:hint="eastAsia" w:ascii="Times New Roman" w:hAnsi="Times New Roman" w:eastAsia="楷体" w:cs="Times New Roman"/>
          <w:b/>
          <w:bCs/>
          <w:sz w:val="32"/>
          <w:szCs w:val="32"/>
          <w:lang w:val="en-US" w:eastAsia="zh-CN"/>
        </w:rPr>
        <w:t>5</w:t>
      </w:r>
      <w:r>
        <w:rPr>
          <w:rFonts w:hint="default" w:ascii="Times New Roman" w:hAnsi="Times New Roman" w:eastAsia="楷体" w:cs="Times New Roman"/>
          <w:b/>
          <w:bCs/>
          <w:sz w:val="32"/>
          <w:szCs w:val="32"/>
          <w:lang w:val="en-US" w:eastAsia="zh-CN"/>
        </w:rPr>
        <w:t>年</w:t>
      </w:r>
      <w:r>
        <w:rPr>
          <w:rFonts w:hint="eastAsia" w:ascii="Times New Roman" w:hAnsi="Times New Roman" w:eastAsia="楷体" w:cs="Times New Roman"/>
          <w:b/>
          <w:bCs/>
          <w:sz w:val="32"/>
          <w:szCs w:val="32"/>
          <w:lang w:val="en-US" w:eastAsia="zh-CN"/>
        </w:rPr>
        <w:t>全过程绩效管理</w:t>
      </w:r>
    </w:p>
    <w:p w14:paraId="77AE1070">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eastAsia="zh-CN"/>
        </w:rPr>
        <w:t>聚焦全过程预算绩效管理链条，加快构建预算绩效管理体系，推动绩效管理融入预算管理。</w:t>
      </w:r>
      <w:r>
        <w:rPr>
          <w:rFonts w:hint="default" w:ascii="Times New Roman" w:hAnsi="Times New Roman" w:eastAsia="仿宋_GB2312" w:cs="Times New Roman"/>
          <w:b/>
          <w:bCs/>
          <w:sz w:val="32"/>
          <w:szCs w:val="32"/>
          <w:highlight w:val="none"/>
          <w:lang w:val="en-US" w:eastAsia="zh-CN"/>
        </w:rPr>
        <w:t>一是</w:t>
      </w:r>
      <w:r>
        <w:rPr>
          <w:rFonts w:hint="default" w:ascii="Times New Roman" w:hAnsi="Times New Roman" w:eastAsia="仿宋_GB2312" w:cs="Times New Roman"/>
          <w:sz w:val="32"/>
          <w:szCs w:val="32"/>
          <w:highlight w:val="none"/>
          <w:lang w:val="en-US" w:eastAsia="zh-CN"/>
        </w:rPr>
        <w:t>印发《关于做好202</w:t>
      </w:r>
      <w:r>
        <w:rPr>
          <w:rFonts w:hint="eastAsia"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lang w:val="en-US" w:eastAsia="zh-CN"/>
        </w:rPr>
        <w:t>年区级政策预算和项目预算事前绩效评估工作的通知》（</w:t>
      </w:r>
      <w:r>
        <w:rPr>
          <w:rFonts w:hint="default" w:ascii="Times New Roman" w:hAnsi="Times New Roman" w:eastAsia="仿宋_GB2312" w:cs="Times New Roman"/>
          <w:sz w:val="32"/>
          <w:szCs w:val="32"/>
          <w:highlight w:val="none"/>
          <w:lang w:eastAsia="zh-CN"/>
        </w:rPr>
        <w:t>东区财字</w:t>
      </w:r>
      <w:r>
        <w:rPr>
          <w:rFonts w:hint="default" w:ascii="Times New Roman" w:hAnsi="Times New Roman" w:eastAsia="仿宋_GB2312" w:cs="Times New Roman"/>
          <w:sz w:val="32"/>
          <w:szCs w:val="32"/>
          <w:highlight w:val="none"/>
        </w:rPr>
        <w:t>〔202</w:t>
      </w:r>
      <w:r>
        <w:rPr>
          <w:rFonts w:hint="eastAsia"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val="en-US" w:eastAsia="zh-CN"/>
        </w:rPr>
        <w:t>14</w:t>
      </w:r>
      <w:r>
        <w:rPr>
          <w:rFonts w:hint="eastAsia"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lang w:val="en-US" w:eastAsia="zh-CN"/>
        </w:rPr>
        <w:t>号），全区预算单位牢固树立“花钱必问效、无效必问责”的绩效理念，切实发挥部门单位预算绩效管理主体责任，按照“谁申请资金、谁编制目标”的原则，认真落实“一项目、一表</w:t>
      </w:r>
      <w:r>
        <w:rPr>
          <w:rFonts w:hint="eastAsia" w:ascii="Times New Roman" w:hAnsi="Times New Roman" w:eastAsia="仿宋_GB2312" w:cs="Times New Roman"/>
          <w:sz w:val="32"/>
          <w:szCs w:val="32"/>
          <w:highlight w:val="none"/>
          <w:lang w:val="en-US" w:eastAsia="zh-CN"/>
        </w:rPr>
        <w:t>单</w:t>
      </w:r>
      <w:r>
        <w:rPr>
          <w:rFonts w:hint="default" w:ascii="Times New Roman" w:hAnsi="Times New Roman" w:eastAsia="仿宋_GB2312" w:cs="Times New Roman"/>
          <w:sz w:val="32"/>
          <w:szCs w:val="32"/>
          <w:highlight w:val="none"/>
          <w:lang w:val="en-US" w:eastAsia="zh-CN"/>
        </w:rPr>
        <w:t>、一报告”要求，将事前绩效评估及绩效目标申报作为申请预算的前置条件，加强对预算项目的统筹谋划。</w:t>
      </w:r>
      <w:r>
        <w:rPr>
          <w:rFonts w:hint="default" w:ascii="Times New Roman" w:hAnsi="Times New Roman" w:eastAsia="仿宋_GB2312" w:cs="Times New Roman"/>
          <w:b/>
          <w:bCs/>
          <w:sz w:val="32"/>
          <w:szCs w:val="32"/>
          <w:highlight w:val="none"/>
          <w:lang w:val="en-US" w:eastAsia="zh-CN"/>
        </w:rPr>
        <w:t>二是</w:t>
      </w:r>
      <w:r>
        <w:rPr>
          <w:rFonts w:hint="default" w:ascii="Times New Roman" w:hAnsi="Times New Roman" w:eastAsia="仿宋_GB2312" w:cs="Times New Roman"/>
          <w:sz w:val="32"/>
          <w:szCs w:val="32"/>
          <w:highlight w:val="none"/>
          <w:lang w:val="en-US" w:eastAsia="zh-CN"/>
        </w:rPr>
        <w:t>对区级所有预算支出实行绩效目标管理全覆盖，选取一批涵盖各档次审核结果的项目，随同预算草案同步提交区人大审议，及时公开重要绩效目标情况、对应审核结果和结果应用情况</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b/>
          <w:bCs/>
          <w:sz w:val="32"/>
          <w:szCs w:val="32"/>
          <w:highlight w:val="none"/>
          <w:lang w:val="en-US" w:eastAsia="zh-CN"/>
        </w:rPr>
        <w:t>三是</w:t>
      </w:r>
      <w:r>
        <w:rPr>
          <w:rFonts w:hint="default" w:ascii="Times New Roman" w:hAnsi="Times New Roman" w:eastAsia="仿宋_GB2312" w:cs="Times New Roman"/>
          <w:sz w:val="32"/>
          <w:szCs w:val="32"/>
          <w:highlight w:val="none"/>
          <w:lang w:eastAsia="zh-CN"/>
        </w:rPr>
        <w:t>加强运行监控。制定</w:t>
      </w:r>
      <w:r>
        <w:rPr>
          <w:rFonts w:hint="default" w:ascii="Times New Roman" w:hAnsi="Times New Roman" w:eastAsia="仿宋_GB2312" w:cs="Times New Roman"/>
          <w:sz w:val="32"/>
          <w:szCs w:val="32"/>
          <w:highlight w:val="none"/>
          <w:lang w:val="en-US" w:eastAsia="zh-CN"/>
        </w:rPr>
        <w:t>《关于开展202</w:t>
      </w:r>
      <w:r>
        <w:rPr>
          <w:rFonts w:hint="eastAsia"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lang w:val="en-US" w:eastAsia="zh-CN"/>
        </w:rPr>
        <w:t>年预算执行事中绩效运行监控工作的通知》（</w:t>
      </w:r>
      <w:r>
        <w:rPr>
          <w:rFonts w:hint="default" w:ascii="Times New Roman" w:hAnsi="Times New Roman" w:eastAsia="仿宋_GB2312" w:cs="Times New Roman"/>
          <w:sz w:val="32"/>
          <w:szCs w:val="32"/>
          <w:highlight w:val="none"/>
          <w:lang w:eastAsia="zh-CN"/>
        </w:rPr>
        <w:t>东区财字</w:t>
      </w:r>
      <w:r>
        <w:rPr>
          <w:rFonts w:hint="default" w:ascii="Times New Roman" w:hAnsi="Times New Roman" w:eastAsia="仿宋_GB2312" w:cs="Times New Roman"/>
          <w:sz w:val="32"/>
          <w:szCs w:val="32"/>
          <w:highlight w:val="none"/>
        </w:rPr>
        <w:t>〔202</w:t>
      </w:r>
      <w:r>
        <w:rPr>
          <w:rFonts w:hint="eastAsia"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val="en-US" w:eastAsia="zh-CN"/>
        </w:rPr>
        <w:t>8</w:t>
      </w:r>
      <w:r>
        <w:rPr>
          <w:rFonts w:hint="eastAsia"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lang w:val="en-US" w:eastAsia="zh-CN"/>
        </w:rPr>
        <w:t>号），各部门单位根据年初部门预算批复数、专项项目追加数，依托“预算管理一体化系统”预算执行数据及项目预算绩效目标实现程度，对预算项目绩效运行监控情况进行分析，</w:t>
      </w:r>
      <w:r>
        <w:rPr>
          <w:rFonts w:hint="eastAsia" w:ascii="Times New Roman" w:hAnsi="Times New Roman" w:eastAsia="仿宋_GB2312" w:cs="Times New Roman"/>
          <w:sz w:val="32"/>
          <w:szCs w:val="32"/>
          <w:highlight w:val="none"/>
          <w:lang w:val="en-US" w:eastAsia="zh-CN"/>
        </w:rPr>
        <w:t>及时纠偏，共计收回725万元，</w:t>
      </w:r>
      <w:r>
        <w:rPr>
          <w:rFonts w:hint="default" w:ascii="Times New Roman" w:hAnsi="Times New Roman" w:eastAsia="仿宋_GB2312" w:cs="Times New Roman"/>
          <w:sz w:val="32"/>
          <w:szCs w:val="32"/>
          <w:highlight w:val="none"/>
          <w:lang w:val="en-US" w:eastAsia="zh-CN"/>
        </w:rPr>
        <w:t>并根据分析结果完成《绩效运行监控情况表》及区级部门绩效运行监控报告，引导全区75家预算单位不断积累经验，完善管理措施，逐步探索建立适合本部门本单位实际情况的绩效运行跟踪监控管理机制，为全面推进绩效监控工作奠定坚实基础。</w:t>
      </w:r>
      <w:r>
        <w:rPr>
          <w:rFonts w:hint="default" w:ascii="Times New Roman" w:hAnsi="Times New Roman" w:eastAsia="仿宋_GB2312" w:cs="Times New Roman"/>
          <w:b/>
          <w:bCs/>
          <w:sz w:val="32"/>
          <w:szCs w:val="32"/>
          <w:highlight w:val="none"/>
          <w:lang w:val="en-US" w:eastAsia="zh-CN"/>
        </w:rPr>
        <w:t>四是</w:t>
      </w:r>
      <w:r>
        <w:rPr>
          <w:rFonts w:hint="default" w:ascii="Times New Roman" w:hAnsi="Times New Roman" w:eastAsia="仿宋_GB2312" w:cs="Times New Roman"/>
          <w:sz w:val="32"/>
          <w:szCs w:val="32"/>
          <w:highlight w:val="none"/>
          <w:lang w:val="en-US" w:eastAsia="zh-CN"/>
        </w:rPr>
        <w:t>加强绩效评价。组织区属部门202</w:t>
      </w:r>
      <w:r>
        <w:rPr>
          <w:rFonts w:hint="eastAsia"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lang w:val="en-US" w:eastAsia="zh-CN"/>
        </w:rPr>
        <w:t>年重点项目开展绩效自评，同时委托第三方机构开展绩效评价，如实反映财政资金使用效益和政府职能的实现程度，强化部门预算支出的责任和效率。</w:t>
      </w:r>
      <w:r>
        <w:rPr>
          <w:rFonts w:hint="default" w:ascii="Times New Roman" w:hAnsi="Times New Roman" w:eastAsia="仿宋_GB2312" w:cs="Times New Roman"/>
          <w:b/>
          <w:bCs/>
          <w:sz w:val="32"/>
          <w:szCs w:val="32"/>
          <w:highlight w:val="none"/>
          <w:lang w:val="en-US" w:eastAsia="zh-CN"/>
        </w:rPr>
        <w:t>五是</w:t>
      </w:r>
      <w:r>
        <w:rPr>
          <w:rFonts w:hint="default" w:ascii="Times New Roman" w:hAnsi="Times New Roman" w:eastAsia="仿宋_GB2312" w:cs="Times New Roman"/>
          <w:sz w:val="32"/>
          <w:szCs w:val="32"/>
          <w:highlight w:val="none"/>
          <w:lang w:val="en-US" w:eastAsia="zh-CN"/>
        </w:rPr>
        <w:t>开展综合绩效考评。202</w:t>
      </w:r>
      <w:r>
        <w:rPr>
          <w:rFonts w:hint="eastAsia"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lang w:val="en-US" w:eastAsia="zh-CN"/>
        </w:rPr>
        <w:t>年初组成4个检查小组对区属75家预算单位就202</w:t>
      </w:r>
      <w:r>
        <w:rPr>
          <w:rFonts w:hint="eastAsia"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lang w:val="en-US" w:eastAsia="zh-CN"/>
        </w:rPr>
        <w:t>年度预算绩效管理工作方面进行实地考评，有效推动形成强化管理、重视质量、提高效益的财政管理合力。结合上年部门预算管理综合绩效考评工作进一步完善部门绩效指标体系，制定《关于印发城东区2024年部门综合绩效考评的实施方案》，各预算单位认真开展自评工作</w:t>
      </w:r>
      <w:r>
        <w:rPr>
          <w:rFonts w:hint="eastAsia" w:ascii="Times New Roman" w:hAnsi="Times New Roman" w:eastAsia="仿宋_GB2312" w:cs="Times New Roman"/>
          <w:sz w:val="32"/>
          <w:szCs w:val="32"/>
          <w:highlight w:val="none"/>
          <w:lang w:val="en-US" w:eastAsia="zh-CN"/>
        </w:rPr>
        <w:t>，并于2025年1月开展部门综合绩效考评工作，4月</w:t>
      </w:r>
      <w:r>
        <w:rPr>
          <w:rFonts w:hint="default" w:ascii="Times New Roman" w:hAnsi="Times New Roman" w:eastAsia="仿宋_GB2312" w:cs="Times New Roman"/>
          <w:sz w:val="32"/>
          <w:szCs w:val="32"/>
          <w:highlight w:val="none"/>
          <w:lang w:val="en-US" w:eastAsia="zh-CN"/>
        </w:rPr>
        <w:t>印发《关于落实城东区2024年度财政管理综合绩效考评奖惩措施的通知》（</w:t>
      </w:r>
      <w:r>
        <w:rPr>
          <w:rFonts w:hint="default" w:ascii="Times New Roman" w:hAnsi="Times New Roman" w:eastAsia="仿宋_GB2312" w:cs="Times New Roman"/>
          <w:sz w:val="32"/>
          <w:szCs w:val="32"/>
          <w:highlight w:val="none"/>
          <w:lang w:eastAsia="zh-CN"/>
        </w:rPr>
        <w:t>东财</w:t>
      </w:r>
      <w:r>
        <w:rPr>
          <w:rFonts w:hint="eastAsia" w:ascii="Times New Roman" w:hAnsi="Times New Roman" w:eastAsia="仿宋_GB2312" w:cs="Times New Roman"/>
          <w:sz w:val="32"/>
          <w:szCs w:val="32"/>
          <w:highlight w:val="none"/>
          <w:lang w:eastAsia="zh-CN"/>
        </w:rPr>
        <w:t>预</w:t>
      </w:r>
      <w:r>
        <w:rPr>
          <w:rFonts w:hint="default" w:ascii="Times New Roman" w:hAnsi="Times New Roman" w:eastAsia="仿宋_GB2312" w:cs="Times New Roman"/>
          <w:sz w:val="32"/>
          <w:szCs w:val="32"/>
          <w:highlight w:val="none"/>
          <w:lang w:eastAsia="zh-CN"/>
        </w:rPr>
        <w:t>字</w:t>
      </w:r>
      <w:r>
        <w:rPr>
          <w:rFonts w:hint="default" w:ascii="Times New Roman" w:hAnsi="Times New Roman" w:eastAsia="仿宋_GB2312" w:cs="Times New Roman"/>
          <w:sz w:val="32"/>
          <w:szCs w:val="32"/>
          <w:highlight w:val="none"/>
        </w:rPr>
        <w:t>〔202</w:t>
      </w:r>
      <w:r>
        <w:rPr>
          <w:rFonts w:hint="eastAsia"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114</w:t>
      </w:r>
      <w:r>
        <w:rPr>
          <w:rFonts w:hint="default" w:ascii="Times New Roman" w:hAnsi="Times New Roman" w:eastAsia="仿宋_GB2312" w:cs="Times New Roman"/>
          <w:sz w:val="32"/>
          <w:szCs w:val="32"/>
          <w:highlight w:val="none"/>
          <w:lang w:val="en-US" w:eastAsia="zh-CN"/>
        </w:rPr>
        <w:t>号），</w:t>
      </w:r>
      <w:r>
        <w:rPr>
          <w:rFonts w:hint="eastAsia" w:ascii="Times New Roman" w:hAnsi="Times New Roman" w:eastAsia="仿宋_GB2312" w:cs="Times New Roman"/>
          <w:sz w:val="32"/>
          <w:szCs w:val="32"/>
          <w:highlight w:val="none"/>
          <w:lang w:val="en-US" w:eastAsia="zh-CN"/>
        </w:rPr>
        <w:t>严格兑现财政综合绩效考评奖补资金 64万元，扣减低效无效项目单位公用经费 44.84万元。进一步将绩效压实压细。</w:t>
      </w:r>
    </w:p>
    <w:p w14:paraId="6C01C69A">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576" w:lineRule="exact"/>
        <w:ind w:firstLine="643" w:firstLineChars="20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(三)2026年我区预算绩效管理工作思路</w:t>
      </w:r>
    </w:p>
    <w:p w14:paraId="2E5E9A91">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2312" w:cs="Times New Roman"/>
          <w:sz w:val="32"/>
          <w:szCs w:val="32"/>
          <w:highlight w:val="none"/>
          <w:lang w:val="en-US" w:eastAsia="zh-CN"/>
        </w:rPr>
      </w:pPr>
      <w:r>
        <w:rPr>
          <w:rFonts w:hint="default" w:ascii="Times New Roman" w:hAnsi="Times New Roman" w:eastAsia="方正仿宋_GB2312" w:cs="Times New Roman"/>
          <w:sz w:val="32"/>
          <w:szCs w:val="32"/>
          <w:highlight w:val="none"/>
          <w:lang w:val="en-US" w:eastAsia="zh-CN"/>
        </w:rPr>
        <w:t>202</w:t>
      </w:r>
      <w:r>
        <w:rPr>
          <w:rFonts w:hint="eastAsia" w:ascii="Times New Roman" w:hAnsi="Times New Roman" w:eastAsia="方正仿宋_GB2312" w:cs="Times New Roman"/>
          <w:sz w:val="32"/>
          <w:szCs w:val="32"/>
          <w:highlight w:val="none"/>
          <w:lang w:val="en-US" w:eastAsia="zh-CN"/>
        </w:rPr>
        <w:t>6</w:t>
      </w:r>
      <w:r>
        <w:rPr>
          <w:rFonts w:hint="default" w:ascii="Times New Roman" w:hAnsi="Times New Roman" w:eastAsia="方正仿宋_GB2312" w:cs="Times New Roman"/>
          <w:sz w:val="32"/>
          <w:szCs w:val="32"/>
          <w:highlight w:val="none"/>
          <w:lang w:val="en-US" w:eastAsia="zh-CN"/>
        </w:rPr>
        <w:t>年依托财政预算管理一体化平台，将预算编制、预算 执行、决算和财务报告、资产管理、债务管理等业务环节按一个整体进行整合规范，提升预算绩效管理信息化水平和预算绩效管 理工作效率，推进预算管理和绩效管理一体化，基本建成全方位、 全过程、全覆盖的预算绩效管理体系。</w:t>
      </w:r>
    </w:p>
    <w:p w14:paraId="617C6428">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576" w:lineRule="exact"/>
        <w:ind w:right="0" w:rightChars="0" w:firstLine="643" w:firstLineChars="200"/>
        <w:textAlignment w:val="auto"/>
        <w:outlineLvl w:val="9"/>
        <w:rPr>
          <w:rFonts w:hint="default" w:ascii="Times New Roman" w:hAnsi="Times New Roman" w:eastAsia="仿宋_GB2312" w:cs="Times New Roman"/>
          <w:sz w:val="32"/>
          <w:szCs w:val="32"/>
          <w:highlight w:val="none"/>
          <w:lang w:val="en-US" w:eastAsia="zh-CN"/>
        </w:rPr>
      </w:pPr>
      <w:r>
        <w:rPr>
          <w:rFonts w:hint="eastAsia" w:ascii="楷体_GB2312" w:hAnsi="楷体_GB2312" w:eastAsia="楷体_GB2312" w:cs="楷体_GB2312"/>
          <w:b/>
          <w:bCs/>
          <w:sz w:val="32"/>
          <w:szCs w:val="32"/>
          <w:highlight w:val="none"/>
          <w:lang w:val="en-US" w:eastAsia="zh-CN"/>
        </w:rPr>
        <w:t>（一）深化绩效目标设定改革。</w:t>
      </w:r>
      <w:r>
        <w:rPr>
          <w:rFonts w:hint="default" w:ascii="Times New Roman" w:hAnsi="Times New Roman" w:eastAsia="仿宋_GB2312" w:cs="Times New Roman"/>
          <w:sz w:val="32"/>
          <w:szCs w:val="32"/>
          <w:highlight w:val="none"/>
          <w:lang w:val="en-US" w:eastAsia="zh-CN"/>
        </w:rPr>
        <w:t>进一步细化绩效目标设定的指导原则，根据城东区实际情况和财政特点，进一步完善绩效指标库，引入第三方机构及专家参与目标设定，为各部门设定绩效目标提供丰富的参考依据，提高目标设定的科学性和可操作性。</w:t>
      </w:r>
    </w:p>
    <w:p w14:paraId="7EEF53A9">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576" w:lineRule="exact"/>
        <w:ind w:firstLine="643" w:firstLineChars="200"/>
        <w:textAlignment w:val="auto"/>
        <w:rPr>
          <w:rFonts w:hint="default"/>
          <w:lang w:val="en-US" w:eastAsia="zh-CN"/>
        </w:rPr>
      </w:pPr>
      <w:r>
        <w:rPr>
          <w:rFonts w:hint="eastAsia" w:ascii="楷体_GB2312" w:hAnsi="楷体_GB2312" w:eastAsia="楷体_GB2312" w:cs="楷体_GB2312"/>
          <w:b/>
          <w:bCs/>
          <w:sz w:val="32"/>
          <w:szCs w:val="32"/>
          <w:highlight w:val="none"/>
          <w:lang w:val="en-US" w:eastAsia="zh-CN"/>
        </w:rPr>
        <w:t>（二）持续加强全过程绩效环节。</w:t>
      </w:r>
      <w:r>
        <w:rPr>
          <w:rFonts w:hint="default" w:ascii="Times New Roman" w:hAnsi="Times New Roman" w:eastAsia="仿宋_GB2312" w:cs="Times New Roman"/>
          <w:sz w:val="32"/>
          <w:szCs w:val="32"/>
          <w:highlight w:val="none"/>
          <w:lang w:val="en-US" w:eastAsia="zh-CN"/>
        </w:rPr>
        <w:t>认真开展</w:t>
      </w:r>
      <w:r>
        <w:rPr>
          <w:rFonts w:hint="eastAsia" w:ascii="Times New Roman" w:hAnsi="Times New Roman" w:eastAsia="仿宋_GB2312" w:cs="Times New Roman"/>
          <w:sz w:val="32"/>
          <w:szCs w:val="32"/>
          <w:highlight w:val="none"/>
          <w:lang w:val="en-US" w:eastAsia="zh-CN"/>
        </w:rPr>
        <w:t>事前</w:t>
      </w:r>
      <w:r>
        <w:rPr>
          <w:rFonts w:hint="default" w:ascii="Times New Roman" w:hAnsi="Times New Roman" w:eastAsia="仿宋_GB2312" w:cs="Times New Roman"/>
          <w:sz w:val="32"/>
          <w:szCs w:val="32"/>
          <w:highlight w:val="none"/>
          <w:lang w:val="en-US" w:eastAsia="zh-CN"/>
        </w:rPr>
        <w:t>绩效评估，严把绩效目标审核，探索建立预算编制与事前绩效评估挂钩机制。加强对绩效目标实现程度和预算执行进度的“双监控”,及时发现和纠正问题，确保绩效目标如期实现，并逐步将监控结果与预算调剂挂钩。完善综合绩效考评机制以及评价体系、工作机制等，逐步实现全覆盖，并强化评价结果与预算编制、资金安排的实质性结合，促进资金配置和使用的良性互动</w:t>
      </w:r>
      <w:r>
        <w:rPr>
          <w:rFonts w:hint="eastAsia" w:ascii="Times New Roman" w:hAnsi="Times New Roman" w:eastAsia="仿宋_GB2312" w:cs="Times New Roman"/>
          <w:sz w:val="32"/>
          <w:szCs w:val="32"/>
          <w:highlight w:val="none"/>
          <w:lang w:val="en-US" w:eastAsia="zh-CN"/>
        </w:rPr>
        <w:t>。</w:t>
      </w:r>
    </w:p>
    <w:p w14:paraId="274C6D22">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576" w:lineRule="exact"/>
        <w:ind w:right="0" w:rightChars="0" w:firstLine="643" w:firstLineChars="200"/>
        <w:textAlignment w:val="auto"/>
        <w:outlineLvl w:val="9"/>
        <w:rPr>
          <w:rFonts w:hint="default" w:ascii="Times New Roman" w:hAnsi="Times New Roman" w:eastAsia="仿宋_GB2312" w:cs="Times New Roman"/>
          <w:sz w:val="32"/>
          <w:szCs w:val="32"/>
          <w:highlight w:val="none"/>
          <w:lang w:val="en-US" w:eastAsia="zh-CN"/>
        </w:rPr>
      </w:pPr>
      <w:r>
        <w:rPr>
          <w:rFonts w:hint="default" w:ascii="楷体_GB2312" w:hAnsi="楷体_GB2312" w:eastAsia="楷体_GB2312" w:cs="楷体_GB2312"/>
          <w:b/>
          <w:bCs/>
          <w:sz w:val="32"/>
          <w:szCs w:val="32"/>
          <w:highlight w:val="none"/>
          <w:lang w:val="en-US" w:eastAsia="zh-CN"/>
        </w:rPr>
        <w:t>（</w:t>
      </w:r>
      <w:r>
        <w:rPr>
          <w:rFonts w:hint="eastAsia" w:ascii="楷体_GB2312" w:hAnsi="楷体_GB2312" w:eastAsia="楷体_GB2312" w:cs="楷体_GB2312"/>
          <w:b/>
          <w:bCs/>
          <w:sz w:val="32"/>
          <w:szCs w:val="32"/>
          <w:highlight w:val="none"/>
          <w:lang w:val="en-US" w:eastAsia="zh-CN"/>
        </w:rPr>
        <w:t>三</w:t>
      </w:r>
      <w:r>
        <w:rPr>
          <w:rFonts w:hint="default" w:ascii="楷体_GB2312" w:hAnsi="楷体_GB2312" w:eastAsia="楷体_GB2312" w:cs="楷体_GB2312"/>
          <w:b/>
          <w:bCs/>
          <w:sz w:val="32"/>
          <w:szCs w:val="32"/>
          <w:highlight w:val="none"/>
          <w:lang w:val="en-US" w:eastAsia="zh-CN"/>
        </w:rPr>
        <w:t>）加强绩效评价结果应用。</w:t>
      </w:r>
      <w:r>
        <w:rPr>
          <w:rFonts w:hint="default" w:ascii="Times New Roman" w:hAnsi="Times New Roman" w:eastAsia="仿宋_GB2312" w:cs="Times New Roman"/>
          <w:sz w:val="32"/>
          <w:szCs w:val="32"/>
          <w:highlight w:val="none"/>
          <w:lang w:val="en-US" w:eastAsia="zh-CN"/>
        </w:rPr>
        <w:t>建立健全绩效评价结果与预算调整、政策优化的联动机制，确保评价结果能够及时、有效地转化为政策行动。基于绩效评价结果，城东区将结合预算编制，对</w:t>
      </w:r>
      <w:r>
        <w:rPr>
          <w:rFonts w:hint="eastAsia" w:ascii="Times New Roman" w:hAnsi="Times New Roman" w:eastAsia="仿宋_GB2312" w:cs="Times New Roman"/>
          <w:sz w:val="32"/>
          <w:szCs w:val="32"/>
          <w:highlight w:val="none"/>
          <w:lang w:val="en-US" w:eastAsia="zh-CN"/>
        </w:rPr>
        <w:t>效果</w:t>
      </w:r>
      <w:r>
        <w:rPr>
          <w:rFonts w:hint="default" w:ascii="Times New Roman" w:hAnsi="Times New Roman" w:eastAsia="仿宋_GB2312" w:cs="Times New Roman"/>
          <w:sz w:val="32"/>
          <w:szCs w:val="32"/>
          <w:highlight w:val="none"/>
          <w:lang w:val="en-US" w:eastAsia="zh-CN"/>
        </w:rPr>
        <w:t>不佳的项目或政策进行调整优化，对</w:t>
      </w:r>
      <w:r>
        <w:rPr>
          <w:rFonts w:hint="eastAsia" w:ascii="Times New Roman" w:hAnsi="Times New Roman" w:eastAsia="仿宋_GB2312" w:cs="Times New Roman"/>
          <w:sz w:val="32"/>
          <w:szCs w:val="32"/>
          <w:highlight w:val="none"/>
          <w:lang w:val="en-US" w:eastAsia="zh-CN"/>
        </w:rPr>
        <w:t>效果</w:t>
      </w:r>
      <w:r>
        <w:rPr>
          <w:rFonts w:hint="default" w:ascii="Times New Roman" w:hAnsi="Times New Roman" w:eastAsia="仿宋_GB2312" w:cs="Times New Roman"/>
          <w:sz w:val="32"/>
          <w:szCs w:val="32"/>
          <w:highlight w:val="none"/>
          <w:lang w:val="en-US" w:eastAsia="zh-CN"/>
        </w:rPr>
        <w:t>优秀的项目给予更多的财政支持，通过正向的激励和负向反馈机制，不断优化财政资源配置，提升财政资金的使用效益。</w:t>
      </w:r>
    </w:p>
    <w:p w14:paraId="08D7B319">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576" w:lineRule="exact"/>
        <w:ind w:right="0" w:rightChars="0" w:firstLine="643" w:firstLineChars="200"/>
        <w:textAlignment w:val="auto"/>
        <w:outlineLvl w:val="9"/>
        <w:rPr>
          <w:rFonts w:hint="default" w:ascii="Times New Roman" w:hAnsi="Times New Roman" w:eastAsia="仿宋_GB2312" w:cs="Times New Roman"/>
          <w:sz w:val="32"/>
          <w:szCs w:val="32"/>
          <w:highlight w:val="none"/>
          <w:lang w:val="en-US" w:eastAsia="zh-CN"/>
        </w:rPr>
      </w:pPr>
      <w:r>
        <w:rPr>
          <w:rFonts w:hint="default" w:ascii="楷体_GB2312" w:hAnsi="楷体_GB2312" w:eastAsia="楷体_GB2312" w:cs="楷体_GB2312"/>
          <w:b/>
          <w:bCs/>
          <w:sz w:val="32"/>
          <w:szCs w:val="32"/>
          <w:highlight w:val="none"/>
          <w:lang w:val="en-US" w:eastAsia="zh-CN"/>
        </w:rPr>
        <w:t>（</w:t>
      </w:r>
      <w:r>
        <w:rPr>
          <w:rFonts w:hint="eastAsia" w:ascii="楷体_GB2312" w:hAnsi="楷体_GB2312" w:eastAsia="楷体_GB2312" w:cs="楷体_GB2312"/>
          <w:b/>
          <w:bCs/>
          <w:sz w:val="32"/>
          <w:szCs w:val="32"/>
          <w:highlight w:val="none"/>
          <w:lang w:val="en-US" w:eastAsia="zh-CN"/>
        </w:rPr>
        <w:t>四</w:t>
      </w:r>
      <w:r>
        <w:rPr>
          <w:rFonts w:hint="default" w:ascii="楷体_GB2312" w:hAnsi="楷体_GB2312" w:eastAsia="楷体_GB2312" w:cs="楷体_GB2312"/>
          <w:b/>
          <w:bCs/>
          <w:sz w:val="32"/>
          <w:szCs w:val="32"/>
          <w:highlight w:val="none"/>
          <w:lang w:val="en-US" w:eastAsia="zh-CN"/>
        </w:rPr>
        <w:t>）持续培训与宣传。</w:t>
      </w:r>
      <w:r>
        <w:rPr>
          <w:rFonts w:hint="default" w:ascii="Times New Roman" w:hAnsi="Times New Roman" w:eastAsia="仿宋_GB2312" w:cs="Times New Roman"/>
          <w:sz w:val="32"/>
          <w:szCs w:val="32"/>
          <w:highlight w:val="none"/>
          <w:lang w:val="en-US" w:eastAsia="zh-CN"/>
        </w:rPr>
        <w:t>绩效管理理念的普及是推动绩效管理改革城东的关键，城东区将继续加强绩效培训，内容涵盖绩效目标设定、绩效评价、结果应用等多方面的知识，</w:t>
      </w:r>
      <w:r>
        <w:rPr>
          <w:rFonts w:hint="eastAsia" w:ascii="Times New Roman" w:hAnsi="Times New Roman" w:eastAsia="仿宋_GB2312" w:cs="Times New Roman"/>
          <w:sz w:val="32"/>
          <w:szCs w:val="32"/>
          <w:highlight w:val="none"/>
          <w:lang w:val="en-US" w:eastAsia="zh-CN"/>
        </w:rPr>
        <w:t>将其纳入区委中心组学习内容，</w:t>
      </w:r>
      <w:r>
        <w:rPr>
          <w:rFonts w:hint="default" w:ascii="Times New Roman" w:hAnsi="Times New Roman" w:eastAsia="仿宋_GB2312" w:cs="Times New Roman"/>
          <w:sz w:val="32"/>
          <w:szCs w:val="32"/>
          <w:highlight w:val="none"/>
          <w:lang w:val="en-US" w:eastAsia="zh-CN"/>
        </w:rPr>
        <w:t>通过持续的培训和宣传，提高全区财务人员及相关领导对预算绩效管理的认知和支持。除了培训，城东区财政局还将通过内部会议、集中学习等方式，广泛宣传预算绩效管理的重要性和具体时间，增强全员对绩效管理的认同感和参与感。</w:t>
      </w:r>
    </w:p>
    <w:p w14:paraId="14CC90EF">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2312" w:cs="Times New Roman"/>
          <w:sz w:val="32"/>
          <w:szCs w:val="32"/>
          <w:highlight w:val="yellow"/>
          <w:lang w:val="en-US" w:eastAsia="zh-CN"/>
        </w:rPr>
      </w:pP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仿宋_GB2312">
    <w:altName w:val="仿宋"/>
    <w:panose1 w:val="00000000000000000000"/>
    <w:charset w:val="00"/>
    <w:family w:val="auto"/>
    <w:pitch w:val="default"/>
    <w:sig w:usb0="00000000" w:usb1="00000000" w:usb2="00000000" w:usb3="00000000" w:csb0="00000000" w:csb1="00000000"/>
  </w:font>
  <w:font w:name="楷体_GB2312">
    <w:altName w:val="楷体"/>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7E664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C3A45C">
                          <w:pPr>
                            <w:pStyle w:val="4"/>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1C3A45C">
                    <w:pPr>
                      <w:pStyle w:val="4"/>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AE0419"/>
    <w:rsid w:val="02100829"/>
    <w:rsid w:val="031A67DB"/>
    <w:rsid w:val="0FC64EF0"/>
    <w:rsid w:val="10A16925"/>
    <w:rsid w:val="3E721583"/>
    <w:rsid w:val="497575A6"/>
    <w:rsid w:val="65C47B38"/>
    <w:rsid w:val="7EAE04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semiHidden/>
    <w:qFormat/>
    <w:uiPriority w:val="0"/>
    <w:rPr>
      <w:rFonts w:ascii="仿宋" w:hAnsi="仿宋" w:eastAsia="仿宋" w:cs="仿宋"/>
      <w:sz w:val="32"/>
      <w:szCs w:val="32"/>
      <w:lang w:val="en-US" w:eastAsia="en-US" w:bidi="ar-SA"/>
    </w:rPr>
  </w:style>
  <w:style w:type="paragraph" w:styleId="3">
    <w:name w:val="Title"/>
    <w:basedOn w:val="1"/>
    <w:next w:val="1"/>
    <w:qFormat/>
    <w:uiPriority w:val="10"/>
    <w:pPr>
      <w:spacing w:before="60" w:after="120" w:line="560" w:lineRule="exact"/>
      <w:jc w:val="center"/>
      <w:outlineLvl w:val="0"/>
    </w:pPr>
    <w:rPr>
      <w:rFonts w:eastAsia="方正小标宋简体"/>
      <w:bCs/>
      <w:sz w:val="44"/>
      <w:szCs w:val="32"/>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样式2"/>
    <w:basedOn w:val="1"/>
    <w:uiPriority w:val="0"/>
    <w:pPr>
      <w:tabs>
        <w:tab w:val="right" w:leader="dot" w:pos="8845"/>
      </w:tabs>
    </w:pPr>
    <w:rPr>
      <w:rFonts w:hint="eastAsia" w:ascii="仿宋_GB2312" w:hAnsi="仿宋_GB2312" w:eastAsia="仿宋_GB2312" w:cs="仿宋_GB2312"/>
      <w:color w:val="auto"/>
      <w:sz w:val="32"/>
      <w:szCs w:val="32"/>
    </w:rPr>
  </w:style>
  <w:style w:type="paragraph" w:customStyle="1" w:styleId="9">
    <w:name w:val="Char2 Char Char Char Char Char Char"/>
    <w:basedOn w:val="1"/>
    <w:next w:val="4"/>
    <w:qFormat/>
    <w:uiPriority w:val="99"/>
    <w:pPr>
      <w:autoSpaceDE w:val="0"/>
      <w:autoSpaceDN w:val="0"/>
      <w:adjustRightInd w:val="0"/>
      <w:snapToGrid w:val="0"/>
      <w:spacing w:line="360" w:lineRule="auto"/>
      <w:ind w:firstLine="200" w:firstLineChars="200"/>
    </w:pPr>
    <w:rPr>
      <w:color w:val="00000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3131</Words>
  <Characters>3456</Characters>
  <Lines>0</Lines>
  <Paragraphs>0</Paragraphs>
  <TotalTime>16</TotalTime>
  <ScaleCrop>false</ScaleCrop>
  <LinksUpToDate>false</LinksUpToDate>
  <CharactersWithSpaces>3545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2025-03-10T04:30:00Z</dcterms:created>
  <dc:creator>番茄勇士</dc:creator>
  <cp:lastModifiedBy>逃之妖怪</cp:lastModifiedBy>
  <dcterms:modified xsi:type="dcterms:W3CDTF">2026-02-25T06:59:14Z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B21E7D7528BA4FACA366248FC88F158C_11</vt:lpwstr>
  </property>
  <property fmtid="{D5CDD505-2E9C-101B-9397-08002B2CF9AE}" pid="4" name="KSOTemplateDocerSaveRecord">
    <vt:lpwstr>eyJoZGlkIjoiZmQxMDk0ZWFhNzFmNGQwZmMwMjM1Mzg0NzZlNzRlOWQiLCJ1c2VySWQiOiIyOTU0MDA3NTgifQ==</vt:lpwstr>
  </property>
</Properties>
</file>