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青藏花园社区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6"/>
          <w:szCs w:val="36"/>
        </w:rPr>
        <w:t>2016年决算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补充</w:t>
      </w:r>
      <w:r>
        <w:rPr>
          <w:rFonts w:hint="eastAsia" w:ascii="仿宋_GB2312" w:eastAsia="仿宋_GB2312"/>
          <w:b/>
          <w:sz w:val="36"/>
          <w:szCs w:val="36"/>
        </w:rPr>
        <w:t>情况说明</w:t>
      </w:r>
    </w:p>
    <w:p>
      <w:pPr>
        <w:ind w:firstLine="800" w:firstLineChars="250"/>
        <w:rPr>
          <w:rFonts w:hint="eastAsia" w:ascii="仿宋_GB2312" w:eastAsia="仿宋_GB2312"/>
          <w:sz w:val="32"/>
          <w:szCs w:val="32"/>
        </w:rPr>
      </w:pPr>
    </w:p>
    <w:p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青藏花园社区2016年决算在政府网内未公开的内容有政府采购执行情况说明、机关运行经费执行情况说明。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1、2016年政府采购决算执行情况。增强办事能力政府采购决算数25.8万元；纪检经费1万元；创城经费3万元；教育经费5万元；科技经费5万元；计生经费4万元；共计43.8万元。</w:t>
      </w:r>
    </w:p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2、我单位是全额拨款的事业单位，不存在机关运行经费。</w:t>
      </w:r>
    </w:p>
    <w:p>
      <w:pPr>
        <w:ind w:firstLine="800" w:firstLineChars="250"/>
        <w:rPr>
          <w:rFonts w:hint="eastAsia" w:ascii="仿宋_GB2312" w:eastAsia="仿宋_GB2312"/>
          <w:sz w:val="32"/>
          <w:szCs w:val="32"/>
        </w:rPr>
      </w:pPr>
    </w:p>
    <w:p>
      <w:pPr>
        <w:ind w:firstLine="800" w:firstLineChars="25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E4C36"/>
    <w:rsid w:val="51DE4C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2017-11-02T03:20:00Z</dcterms:created>
  <dc:creator>Administrator</dc:creator>
  <cp:lastModifiedBy>Administrator</cp:lastModifiedBy>
  <dcterms:modified xsi:type="dcterms:W3CDTF">2017-11-02T03:20:44Z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