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6" w:lineRule="exact"/>
        <w:jc w:val="center"/>
        <w:rPr>
          <w:rFonts w:hint="eastAsia" w:ascii="Times New Roman" w:hAnsi="Times New Roman" w:eastAsia="方正小标宋简体" w:cs="Times New Roman"/>
          <w:b w:val="0"/>
          <w:bCs/>
          <w:color w:val="auto"/>
          <w:sz w:val="44"/>
          <w:szCs w:val="44"/>
          <w:lang w:eastAsia="zh-CN"/>
        </w:rPr>
      </w:pPr>
      <w:bookmarkStart w:id="0" w:name="_GoBack"/>
      <w:r>
        <w:rPr>
          <w:rFonts w:ascii="Times New Roman" w:hAnsi="Times New Roman" w:eastAsia="方正小标宋简体" w:cs="Times New Roman"/>
          <w:b w:val="0"/>
          <w:bCs/>
          <w:color w:val="auto"/>
          <w:sz w:val="44"/>
          <w:szCs w:val="44"/>
        </w:rPr>
        <w:t>拟批准公示：</w:t>
      </w:r>
      <w:r>
        <w:rPr>
          <w:rFonts w:hint="eastAsia" w:ascii="方正小标宋简体" w:hAnsi="方正小标宋简体" w:eastAsia="方正小标宋简体" w:cs="方正小标宋简体"/>
          <w:b w:val="0"/>
          <w:bCs/>
          <w:w w:val="95"/>
          <w:sz w:val="44"/>
          <w:szCs w:val="44"/>
          <w:lang w:eastAsia="zh-CN"/>
        </w:rPr>
        <w:t>青海新千房地产开发有限责任公司热力供应项目</w:t>
      </w:r>
    </w:p>
    <w:bookmarkEnd w:id="0"/>
    <w:p>
      <w:pPr>
        <w:widowControl/>
        <w:spacing w:line="576" w:lineRule="exact"/>
        <w:ind w:firstLine="880" w:firstLineChars="200"/>
        <w:jc w:val="center"/>
        <w:rPr>
          <w:rFonts w:hint="eastAsia" w:ascii="Times New Roman" w:hAnsi="Times New Roman" w:eastAsia="方正小标宋简体" w:cs="Times New Roman"/>
          <w:b w:val="0"/>
          <w:bCs/>
          <w:color w:val="auto"/>
          <w:sz w:val="44"/>
          <w:szCs w:val="44"/>
        </w:rPr>
      </w:pPr>
    </w:p>
    <w:p>
      <w:pPr>
        <w:widowControl/>
        <w:spacing w:line="576" w:lineRule="exact"/>
        <w:rPr>
          <w:rFonts w:eastAsia="仿宋_GB2312"/>
          <w:kern w:val="0"/>
          <w:sz w:val="32"/>
          <w:szCs w:val="32"/>
        </w:rPr>
      </w:pPr>
      <w:r>
        <w:rPr>
          <w:rFonts w:hint="eastAsia" w:eastAsia="仿宋_GB2312"/>
          <w:kern w:val="0"/>
          <w:sz w:val="32"/>
          <w:szCs w:val="32"/>
          <w:lang w:val="en-US" w:eastAsia="zh-CN"/>
        </w:rPr>
        <w:t xml:space="preserve">   </w:t>
      </w:r>
      <w:r>
        <w:rPr>
          <w:rFonts w:eastAsia="仿宋_GB2312"/>
          <w:kern w:val="0"/>
          <w:sz w:val="32"/>
          <w:szCs w:val="32"/>
        </w:rPr>
        <w:t>根据建设项目环境影响评价审批程序的有关规定，经审查，西宁市生态环境局城东区生态环境局于20</w:t>
      </w:r>
      <w:r>
        <w:rPr>
          <w:rFonts w:hint="eastAsia" w:eastAsia="仿宋_GB2312"/>
          <w:kern w:val="0"/>
          <w:sz w:val="32"/>
          <w:szCs w:val="32"/>
        </w:rPr>
        <w:t>2</w:t>
      </w:r>
      <w:r>
        <w:rPr>
          <w:rFonts w:hint="eastAsia" w:eastAsia="仿宋_GB2312"/>
          <w:kern w:val="0"/>
          <w:sz w:val="32"/>
          <w:szCs w:val="32"/>
          <w:lang w:val="en-US" w:eastAsia="zh-CN"/>
        </w:rPr>
        <w:t>2</w:t>
      </w:r>
      <w:r>
        <w:rPr>
          <w:rFonts w:eastAsia="仿宋_GB2312"/>
          <w:kern w:val="0"/>
          <w:sz w:val="32"/>
          <w:szCs w:val="32"/>
        </w:rPr>
        <w:t>年</w:t>
      </w:r>
      <w:r>
        <w:rPr>
          <w:rFonts w:hint="eastAsia" w:eastAsia="仿宋_GB2312"/>
          <w:kern w:val="0"/>
          <w:sz w:val="32"/>
          <w:szCs w:val="32"/>
          <w:lang w:val="en-US" w:eastAsia="zh-CN"/>
        </w:rPr>
        <w:t>6</w:t>
      </w:r>
      <w:r>
        <w:rPr>
          <w:rFonts w:eastAsia="仿宋_GB2312"/>
          <w:kern w:val="0"/>
          <w:sz w:val="32"/>
          <w:szCs w:val="32"/>
        </w:rPr>
        <w:t>月</w:t>
      </w:r>
      <w:r>
        <w:rPr>
          <w:rFonts w:hint="eastAsia" w:eastAsia="仿宋_GB2312"/>
          <w:kern w:val="0"/>
          <w:sz w:val="32"/>
          <w:szCs w:val="32"/>
          <w:lang w:val="en-US" w:eastAsia="zh-CN"/>
        </w:rPr>
        <w:t>13</w:t>
      </w:r>
      <w:r>
        <w:rPr>
          <w:rFonts w:eastAsia="仿宋_GB2312"/>
          <w:kern w:val="0"/>
          <w:sz w:val="32"/>
          <w:szCs w:val="32"/>
        </w:rPr>
        <w:t>日拟对1个建设项目环境影响评价文件作出审批意见。为保证此次审查工作的严肃性和公正性，现将拟作出审批意见的环境影响评价文件基本情况予以公示，公示期为20</w:t>
      </w:r>
      <w:r>
        <w:rPr>
          <w:rFonts w:hint="eastAsia" w:eastAsia="仿宋_GB2312"/>
          <w:kern w:val="0"/>
          <w:sz w:val="32"/>
          <w:szCs w:val="32"/>
        </w:rPr>
        <w:t>2</w:t>
      </w:r>
      <w:r>
        <w:rPr>
          <w:rFonts w:hint="eastAsia" w:eastAsia="仿宋_GB2312"/>
          <w:kern w:val="0"/>
          <w:sz w:val="32"/>
          <w:szCs w:val="32"/>
          <w:lang w:val="en-US" w:eastAsia="zh-CN"/>
        </w:rPr>
        <w:t>2</w:t>
      </w:r>
      <w:r>
        <w:rPr>
          <w:rFonts w:eastAsia="仿宋_GB2312"/>
          <w:kern w:val="0"/>
          <w:sz w:val="32"/>
          <w:szCs w:val="32"/>
        </w:rPr>
        <w:t>年</w:t>
      </w:r>
      <w:r>
        <w:rPr>
          <w:rFonts w:hint="eastAsia" w:eastAsia="仿宋_GB2312"/>
          <w:kern w:val="0"/>
          <w:sz w:val="32"/>
          <w:szCs w:val="32"/>
          <w:lang w:val="en-US" w:eastAsia="zh-CN"/>
        </w:rPr>
        <w:t>6</w:t>
      </w:r>
      <w:r>
        <w:rPr>
          <w:rFonts w:eastAsia="仿宋_GB2312"/>
          <w:kern w:val="0"/>
          <w:sz w:val="32"/>
          <w:szCs w:val="32"/>
        </w:rPr>
        <w:t>月</w:t>
      </w:r>
      <w:r>
        <w:rPr>
          <w:rFonts w:hint="eastAsia" w:eastAsia="仿宋_GB2312"/>
          <w:kern w:val="0"/>
          <w:sz w:val="32"/>
          <w:szCs w:val="32"/>
          <w:lang w:val="en-US" w:eastAsia="zh-CN"/>
        </w:rPr>
        <w:t>13</w:t>
      </w:r>
      <w:r>
        <w:rPr>
          <w:rFonts w:eastAsia="仿宋_GB2312"/>
          <w:kern w:val="0"/>
          <w:sz w:val="32"/>
          <w:szCs w:val="32"/>
        </w:rPr>
        <w:t>日—20</w:t>
      </w:r>
      <w:r>
        <w:rPr>
          <w:rFonts w:hint="eastAsia" w:eastAsia="仿宋_GB2312"/>
          <w:kern w:val="0"/>
          <w:sz w:val="32"/>
          <w:szCs w:val="32"/>
        </w:rPr>
        <w:t>2</w:t>
      </w:r>
      <w:r>
        <w:rPr>
          <w:rFonts w:hint="eastAsia" w:eastAsia="仿宋_GB2312"/>
          <w:kern w:val="0"/>
          <w:sz w:val="32"/>
          <w:szCs w:val="32"/>
          <w:lang w:val="en-US" w:eastAsia="zh-CN"/>
        </w:rPr>
        <w:t>2</w:t>
      </w:r>
      <w:r>
        <w:rPr>
          <w:rFonts w:eastAsia="仿宋_GB2312"/>
          <w:kern w:val="0"/>
          <w:sz w:val="32"/>
          <w:szCs w:val="32"/>
        </w:rPr>
        <w:t>年</w:t>
      </w:r>
      <w:r>
        <w:rPr>
          <w:rFonts w:hint="eastAsia" w:eastAsia="仿宋_GB2312"/>
          <w:kern w:val="0"/>
          <w:sz w:val="32"/>
          <w:szCs w:val="32"/>
          <w:lang w:val="en-US" w:eastAsia="zh-CN"/>
        </w:rPr>
        <w:t>6</w:t>
      </w:r>
      <w:r>
        <w:rPr>
          <w:rFonts w:eastAsia="仿宋_GB2312"/>
          <w:kern w:val="0"/>
          <w:sz w:val="32"/>
          <w:szCs w:val="32"/>
        </w:rPr>
        <w:t>月</w:t>
      </w:r>
      <w:r>
        <w:rPr>
          <w:rFonts w:hint="eastAsia" w:eastAsia="仿宋_GB2312"/>
          <w:kern w:val="0"/>
          <w:sz w:val="32"/>
          <w:szCs w:val="32"/>
          <w:lang w:val="en-US" w:eastAsia="zh-CN"/>
        </w:rPr>
        <w:t>17</w:t>
      </w:r>
      <w:r>
        <w:rPr>
          <w:rFonts w:eastAsia="仿宋_GB2312"/>
          <w:kern w:val="0"/>
          <w:sz w:val="32"/>
          <w:szCs w:val="32"/>
        </w:rPr>
        <w:t xml:space="preserve">日。 </w:t>
      </w:r>
    </w:p>
    <w:p>
      <w:pPr>
        <w:widowControl/>
        <w:spacing w:line="576" w:lineRule="exact"/>
        <w:rPr>
          <w:rFonts w:eastAsia="仿宋_GB2312"/>
          <w:kern w:val="0"/>
          <w:sz w:val="32"/>
          <w:szCs w:val="32"/>
        </w:rPr>
      </w:pPr>
      <w:r>
        <w:rPr>
          <w:rFonts w:eastAsia="仿宋_GB2312"/>
          <w:kern w:val="0"/>
          <w:sz w:val="32"/>
          <w:szCs w:val="32"/>
        </w:rPr>
        <w:t>听证权利告知：依据《中华人民共和国行政许可法》，自公示起五日内申请人、利害关系人可对以下拟作出的建设项目环境影响评价文件审批意见要求听证。</w:t>
      </w:r>
    </w:p>
    <w:p>
      <w:pPr>
        <w:widowControl/>
        <w:spacing w:line="576" w:lineRule="exact"/>
        <w:ind w:firstLine="640" w:firstLineChars="200"/>
        <w:rPr>
          <w:rFonts w:eastAsia="仿宋_GB2312"/>
          <w:kern w:val="0"/>
          <w:sz w:val="32"/>
          <w:szCs w:val="32"/>
        </w:rPr>
      </w:pPr>
      <w:r>
        <w:rPr>
          <w:rFonts w:eastAsia="仿宋_GB2312"/>
          <w:kern w:val="0"/>
          <w:sz w:val="32"/>
          <w:szCs w:val="32"/>
        </w:rPr>
        <w:t>联系电话：0971-</w:t>
      </w:r>
      <w:r>
        <w:rPr>
          <w:rFonts w:hint="eastAsia" w:eastAsia="仿宋_GB2312"/>
          <w:kern w:val="0"/>
          <w:sz w:val="32"/>
          <w:szCs w:val="32"/>
          <w:lang w:val="en-US" w:eastAsia="zh-CN"/>
        </w:rPr>
        <w:t>8140110</w:t>
      </w:r>
      <w:r>
        <w:rPr>
          <w:rFonts w:eastAsia="仿宋_GB2312"/>
          <w:kern w:val="0"/>
          <w:sz w:val="32"/>
          <w:szCs w:val="32"/>
        </w:rPr>
        <w:t>　</w:t>
      </w:r>
    </w:p>
    <w:p>
      <w:pPr>
        <w:widowControl/>
        <w:spacing w:line="576" w:lineRule="exact"/>
        <w:ind w:firstLine="640" w:firstLineChars="200"/>
        <w:rPr>
          <w:rFonts w:eastAsia="仿宋_GB2312"/>
          <w:kern w:val="0"/>
          <w:sz w:val="15"/>
          <w:szCs w:val="15"/>
        </w:rPr>
      </w:pPr>
      <w:r>
        <w:rPr>
          <w:rFonts w:ascii="Times New Roman" w:hAnsi="Times New Roman" w:eastAsia="仿宋_GB2312" w:cs="Times New Roman"/>
          <w:kern w:val="0"/>
          <w:sz w:val="32"/>
          <w:szCs w:val="32"/>
        </w:rPr>
        <w:t>通讯地：西宁市城东区昆仑东路188号</w:t>
      </w:r>
    </w:p>
    <w:tbl>
      <w:tblPr>
        <w:tblStyle w:val="2"/>
        <w:tblpPr w:leftFromText="180" w:rightFromText="180" w:vertAnchor="text" w:horzAnchor="page" w:tblpX="1898" w:tblpY="143"/>
        <w:tblOverlap w:val="never"/>
        <w:tblW w:w="8475" w:type="dxa"/>
        <w:tblInd w:w="0" w:type="dxa"/>
        <w:tblLayout w:type="fixed"/>
        <w:tblCellMar>
          <w:top w:w="15" w:type="dxa"/>
          <w:left w:w="15" w:type="dxa"/>
          <w:bottom w:w="15" w:type="dxa"/>
          <w:right w:w="15" w:type="dxa"/>
        </w:tblCellMar>
      </w:tblPr>
      <w:tblGrid>
        <w:gridCol w:w="377"/>
        <w:gridCol w:w="800"/>
        <w:gridCol w:w="1163"/>
        <w:gridCol w:w="687"/>
        <w:gridCol w:w="575"/>
        <w:gridCol w:w="4873"/>
      </w:tblGrid>
      <w:tr>
        <w:tblPrEx>
          <w:tblCellMar>
            <w:top w:w="15" w:type="dxa"/>
            <w:left w:w="15" w:type="dxa"/>
            <w:bottom w:w="15" w:type="dxa"/>
            <w:right w:w="15" w:type="dxa"/>
          </w:tblCellMar>
        </w:tblPrEx>
        <w:trPr>
          <w:trHeight w:val="771" w:hRule="atLeast"/>
        </w:trPr>
        <w:tc>
          <w:tcPr>
            <w:tcW w:w="377" w:type="dxa"/>
            <w:tcBorders>
              <w:top w:val="single" w:color="auto" w:sz="8" w:space="0"/>
              <w:left w:val="single" w:color="auto" w:sz="8" w:space="0"/>
              <w:bottom w:val="single" w:color="auto" w:sz="8" w:space="0"/>
              <w:right w:val="single" w:color="auto" w:sz="8" w:space="0"/>
            </w:tcBorders>
            <w:noWrap w:val="0"/>
            <w:vAlign w:val="top"/>
          </w:tcPr>
          <w:p>
            <w:pPr>
              <w:widowControl/>
              <w:spacing w:before="100" w:beforeLines="0" w:beforeAutospacing="1" w:after="100" w:afterLines="0" w:afterAutospacing="1"/>
              <w:jc w:val="center"/>
              <w:rPr>
                <w:b/>
                <w:kern w:val="0"/>
                <w:sz w:val="24"/>
                <w:szCs w:val="24"/>
              </w:rPr>
            </w:pPr>
            <w:r>
              <w:rPr>
                <w:rFonts w:eastAsia="仿宋_GB2312"/>
                <w:kern w:val="0"/>
                <w:sz w:val="24"/>
                <w:szCs w:val="24"/>
              </w:rPr>
              <w:t xml:space="preserve"> </w:t>
            </w:r>
            <w:r>
              <w:rPr>
                <w:rFonts w:hAnsi="宋体"/>
                <w:b/>
                <w:kern w:val="0"/>
                <w:sz w:val="24"/>
                <w:szCs w:val="24"/>
              </w:rPr>
              <w:t>序号</w:t>
            </w:r>
          </w:p>
        </w:tc>
        <w:tc>
          <w:tcPr>
            <w:tcW w:w="800" w:type="dxa"/>
            <w:tcBorders>
              <w:top w:val="single" w:color="auto" w:sz="8" w:space="0"/>
              <w:left w:val="single" w:color="auto" w:sz="8" w:space="0"/>
              <w:bottom w:val="single" w:color="auto" w:sz="8" w:space="0"/>
              <w:right w:val="single" w:color="auto" w:sz="8" w:space="0"/>
            </w:tcBorders>
            <w:noWrap w:val="0"/>
            <w:vAlign w:val="center"/>
          </w:tcPr>
          <w:p>
            <w:pPr>
              <w:widowControl/>
              <w:spacing w:before="100" w:beforeLines="0" w:beforeAutospacing="1" w:after="100" w:afterLines="0" w:afterAutospacing="1"/>
              <w:jc w:val="center"/>
              <w:rPr>
                <w:b/>
                <w:kern w:val="0"/>
                <w:sz w:val="24"/>
                <w:szCs w:val="24"/>
              </w:rPr>
            </w:pPr>
            <w:r>
              <w:rPr>
                <w:rFonts w:hAnsi="宋体"/>
                <w:b/>
                <w:kern w:val="0"/>
                <w:sz w:val="24"/>
                <w:szCs w:val="24"/>
              </w:rPr>
              <w:t>项目名称</w:t>
            </w:r>
          </w:p>
        </w:tc>
        <w:tc>
          <w:tcPr>
            <w:tcW w:w="1163" w:type="dxa"/>
            <w:tcBorders>
              <w:top w:val="single" w:color="auto" w:sz="8" w:space="0"/>
              <w:left w:val="single" w:color="auto" w:sz="8" w:space="0"/>
              <w:bottom w:val="single" w:color="auto" w:sz="8" w:space="0"/>
              <w:right w:val="single" w:color="auto" w:sz="8" w:space="0"/>
            </w:tcBorders>
            <w:noWrap w:val="0"/>
            <w:vAlign w:val="center"/>
          </w:tcPr>
          <w:p>
            <w:pPr>
              <w:widowControl/>
              <w:spacing w:before="100" w:beforeLines="0" w:beforeAutospacing="1" w:after="100" w:afterLines="0" w:afterAutospacing="1"/>
              <w:jc w:val="center"/>
              <w:rPr>
                <w:b/>
                <w:kern w:val="0"/>
                <w:sz w:val="24"/>
                <w:szCs w:val="24"/>
              </w:rPr>
            </w:pPr>
            <w:r>
              <w:rPr>
                <w:rFonts w:hAnsi="宋体"/>
                <w:b/>
                <w:kern w:val="0"/>
                <w:sz w:val="24"/>
                <w:szCs w:val="24"/>
              </w:rPr>
              <w:t>建设地点</w:t>
            </w:r>
          </w:p>
        </w:tc>
        <w:tc>
          <w:tcPr>
            <w:tcW w:w="687" w:type="dxa"/>
            <w:tcBorders>
              <w:top w:val="single" w:color="auto" w:sz="8" w:space="0"/>
              <w:left w:val="single" w:color="auto" w:sz="8" w:space="0"/>
              <w:bottom w:val="single" w:color="auto" w:sz="8" w:space="0"/>
              <w:right w:val="single" w:color="auto" w:sz="8" w:space="0"/>
            </w:tcBorders>
            <w:noWrap w:val="0"/>
            <w:vAlign w:val="center"/>
          </w:tcPr>
          <w:p>
            <w:pPr>
              <w:widowControl/>
              <w:spacing w:before="100" w:beforeLines="0" w:beforeAutospacing="1" w:after="100" w:afterLines="0" w:afterAutospacing="1"/>
              <w:jc w:val="center"/>
              <w:rPr>
                <w:b/>
                <w:kern w:val="0"/>
                <w:sz w:val="24"/>
                <w:szCs w:val="24"/>
              </w:rPr>
            </w:pPr>
            <w:r>
              <w:rPr>
                <w:rFonts w:hAnsi="宋体"/>
                <w:b/>
                <w:kern w:val="0"/>
                <w:sz w:val="24"/>
                <w:szCs w:val="24"/>
              </w:rPr>
              <w:t>建设单位</w:t>
            </w:r>
          </w:p>
        </w:tc>
        <w:tc>
          <w:tcPr>
            <w:tcW w:w="575" w:type="dxa"/>
            <w:tcBorders>
              <w:top w:val="single" w:color="auto" w:sz="8" w:space="0"/>
              <w:left w:val="single" w:color="auto" w:sz="8" w:space="0"/>
              <w:bottom w:val="single" w:color="auto" w:sz="8" w:space="0"/>
              <w:right w:val="single" w:color="auto" w:sz="8" w:space="0"/>
            </w:tcBorders>
            <w:noWrap w:val="0"/>
            <w:vAlign w:val="center"/>
          </w:tcPr>
          <w:p>
            <w:pPr>
              <w:widowControl/>
              <w:spacing w:before="100" w:beforeLines="0" w:beforeAutospacing="1" w:after="100" w:afterLines="0" w:afterAutospacing="1"/>
              <w:jc w:val="center"/>
              <w:rPr>
                <w:b/>
                <w:kern w:val="0"/>
                <w:sz w:val="24"/>
                <w:szCs w:val="24"/>
              </w:rPr>
            </w:pPr>
            <w:r>
              <w:rPr>
                <w:rFonts w:hAnsi="宋体"/>
                <w:b/>
                <w:kern w:val="0"/>
                <w:sz w:val="24"/>
                <w:szCs w:val="24"/>
              </w:rPr>
              <w:t>环评单位</w:t>
            </w:r>
          </w:p>
        </w:tc>
        <w:tc>
          <w:tcPr>
            <w:tcW w:w="4873" w:type="dxa"/>
            <w:tcBorders>
              <w:top w:val="single" w:color="auto" w:sz="8" w:space="0"/>
              <w:left w:val="single" w:color="auto" w:sz="8" w:space="0"/>
              <w:bottom w:val="single" w:color="auto" w:sz="8" w:space="0"/>
              <w:right w:val="single" w:color="auto" w:sz="8" w:space="0"/>
            </w:tcBorders>
            <w:noWrap w:val="0"/>
            <w:vAlign w:val="center"/>
          </w:tcPr>
          <w:p>
            <w:pPr>
              <w:widowControl/>
              <w:spacing w:before="100" w:beforeLines="0" w:beforeAutospacing="1" w:after="100" w:afterLines="0" w:afterAutospacing="1"/>
              <w:jc w:val="center"/>
              <w:rPr>
                <w:b/>
                <w:kern w:val="0"/>
                <w:sz w:val="24"/>
                <w:szCs w:val="24"/>
              </w:rPr>
            </w:pPr>
            <w:r>
              <w:rPr>
                <w:rFonts w:hAnsi="宋体"/>
                <w:b/>
                <w:kern w:val="0"/>
                <w:sz w:val="24"/>
                <w:szCs w:val="24"/>
              </w:rPr>
              <w:t>项目概况</w:t>
            </w:r>
          </w:p>
        </w:tc>
      </w:tr>
      <w:tr>
        <w:tblPrEx>
          <w:tblCellMar>
            <w:top w:w="15" w:type="dxa"/>
            <w:left w:w="15" w:type="dxa"/>
            <w:bottom w:w="15" w:type="dxa"/>
            <w:right w:w="15" w:type="dxa"/>
          </w:tblCellMar>
        </w:tblPrEx>
        <w:trPr>
          <w:trHeight w:val="2438" w:hRule="atLeast"/>
        </w:trPr>
        <w:tc>
          <w:tcPr>
            <w:tcW w:w="377" w:type="dxa"/>
            <w:tcBorders>
              <w:top w:val="single" w:color="auto" w:sz="8" w:space="0"/>
              <w:left w:val="single" w:color="auto" w:sz="8" w:space="0"/>
              <w:bottom w:val="single" w:color="auto" w:sz="8" w:space="0"/>
              <w:right w:val="single" w:color="auto" w:sz="8" w:space="0"/>
            </w:tcBorders>
            <w:noWrap w:val="0"/>
            <w:vAlign w:val="center"/>
          </w:tcPr>
          <w:p>
            <w:pPr>
              <w:widowControl/>
              <w:spacing w:line="576" w:lineRule="exact"/>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1</w:t>
            </w:r>
          </w:p>
        </w:tc>
        <w:tc>
          <w:tcPr>
            <w:tcW w:w="800" w:type="dxa"/>
            <w:tcBorders>
              <w:top w:val="single" w:color="auto" w:sz="8" w:space="0"/>
              <w:left w:val="single" w:color="auto" w:sz="8" w:space="0"/>
              <w:bottom w:val="single" w:color="auto" w:sz="8" w:space="0"/>
              <w:right w:val="single" w:color="auto" w:sz="8" w:space="0"/>
            </w:tcBorders>
            <w:noWrap w:val="0"/>
            <w:vAlign w:val="center"/>
          </w:tcPr>
          <w:p>
            <w:pPr>
              <w:widowControl/>
              <w:spacing w:line="576" w:lineRule="exact"/>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rPr>
              <w:t>青海新千房地产开发有限责任公司热力供应项目</w:t>
            </w:r>
          </w:p>
        </w:tc>
        <w:tc>
          <w:tcPr>
            <w:tcW w:w="1163" w:type="dxa"/>
            <w:tcBorders>
              <w:top w:val="single" w:color="auto" w:sz="8" w:space="0"/>
              <w:left w:val="single" w:color="auto" w:sz="8" w:space="0"/>
              <w:bottom w:val="single" w:color="auto" w:sz="8" w:space="0"/>
              <w:right w:val="single" w:color="auto" w:sz="8" w:space="0"/>
            </w:tcBorders>
            <w:noWrap w:val="0"/>
            <w:vAlign w:val="center"/>
          </w:tcPr>
          <w:p>
            <w:pPr>
              <w:widowControl/>
              <w:spacing w:line="576" w:lineRule="exact"/>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rPr>
              <w:t>城东区东至德令哈路，西至共和路，北至夏都大街，南至昆仑东路。</w:t>
            </w:r>
          </w:p>
        </w:tc>
        <w:tc>
          <w:tcPr>
            <w:tcW w:w="687" w:type="dxa"/>
            <w:tcBorders>
              <w:top w:val="single" w:color="auto" w:sz="8" w:space="0"/>
              <w:left w:val="single" w:color="auto" w:sz="8" w:space="0"/>
              <w:bottom w:val="single" w:color="auto" w:sz="8" w:space="0"/>
              <w:right w:val="single" w:color="auto" w:sz="8" w:space="0"/>
            </w:tcBorders>
            <w:noWrap w:val="0"/>
            <w:vAlign w:val="center"/>
          </w:tcPr>
          <w:p>
            <w:pPr>
              <w:widowControl/>
              <w:spacing w:line="576" w:lineRule="exact"/>
              <w:rPr>
                <w:rFonts w:hint="eastAsia" w:ascii="Times New Roman" w:hAnsi="Times New Roman" w:eastAsia="仿宋_GB2312" w:cs="Times New Roman"/>
                <w:kern w:val="0"/>
                <w:sz w:val="21"/>
                <w:szCs w:val="21"/>
                <w:lang w:eastAsia="zh-CN"/>
              </w:rPr>
            </w:pPr>
            <w:r>
              <w:rPr>
                <w:rFonts w:hint="eastAsia" w:ascii="Times New Roman" w:hAnsi="Times New Roman" w:eastAsia="仿宋_GB2312" w:cs="Times New Roman"/>
                <w:kern w:val="0"/>
                <w:sz w:val="21"/>
                <w:szCs w:val="21"/>
              </w:rPr>
              <w:t>青海新千房地产开发有限责任公司</w:t>
            </w:r>
          </w:p>
        </w:tc>
        <w:tc>
          <w:tcPr>
            <w:tcW w:w="575" w:type="dxa"/>
            <w:tcBorders>
              <w:top w:val="single" w:color="auto" w:sz="8" w:space="0"/>
              <w:left w:val="single" w:color="auto" w:sz="8" w:space="0"/>
              <w:bottom w:val="single" w:color="auto" w:sz="8" w:space="0"/>
              <w:right w:val="single" w:color="auto" w:sz="8" w:space="0"/>
            </w:tcBorders>
            <w:noWrap w:val="0"/>
            <w:vAlign w:val="center"/>
          </w:tcPr>
          <w:p>
            <w:pPr>
              <w:widowControl/>
              <w:spacing w:line="576" w:lineRule="exact"/>
              <w:rPr>
                <w:rFonts w:hint="eastAsia" w:ascii="Times New Roman" w:hAnsi="Times New Roman" w:eastAsia="仿宋_GB2312" w:cs="Times New Roman"/>
                <w:kern w:val="0"/>
                <w:sz w:val="21"/>
                <w:szCs w:val="21"/>
                <w:lang w:eastAsia="zh-CN"/>
              </w:rPr>
            </w:pPr>
            <w:r>
              <w:rPr>
                <w:rFonts w:hint="eastAsia" w:ascii="Times New Roman" w:hAnsi="Times New Roman" w:eastAsia="仿宋_GB2312" w:cs="Times New Roman"/>
                <w:kern w:val="0"/>
                <w:sz w:val="21"/>
                <w:szCs w:val="21"/>
                <w:lang w:eastAsia="zh-CN"/>
              </w:rPr>
              <w:t>青海龙创环保科技有限公司</w:t>
            </w:r>
          </w:p>
        </w:tc>
        <w:tc>
          <w:tcPr>
            <w:tcW w:w="4873" w:type="dxa"/>
            <w:tcBorders>
              <w:top w:val="single" w:color="auto" w:sz="8" w:space="0"/>
              <w:left w:val="single" w:color="auto" w:sz="8" w:space="0"/>
              <w:bottom w:val="single" w:color="auto" w:sz="8" w:space="0"/>
              <w:right w:val="single" w:color="auto" w:sz="8" w:space="0"/>
            </w:tcBorders>
            <w:noWrap w:val="0"/>
            <w:vAlign w:val="center"/>
          </w:tcPr>
          <w:p>
            <w:pPr>
              <w:widowControl/>
              <w:spacing w:line="576" w:lineRule="exact"/>
              <w:rPr>
                <w:rFonts w:hint="eastAsia"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rPr>
              <w:t>青海新千房地产开发有限责任公司热力供应项目环境影响报告表，项目位于西宁市城东区东至德令哈路，西至共和路，北至夏都大街，南至昆仑东路。项目总投资450万元，环保投资30万元，该项目为东方华府一期、东方华府二期、新千国际广场东片区的锅炉热力供应项目，共建设有7个锅炉房，32台锅炉。</w:t>
            </w:r>
          </w:p>
        </w:tc>
      </w:tr>
    </w:tbl>
    <w:p>
      <w:pPr>
        <w:widowControl/>
        <w:spacing w:line="576" w:lineRule="exact"/>
        <w:rPr>
          <w:rFonts w:eastAsia="仿宋_GB2312"/>
          <w:kern w:val="0"/>
          <w:sz w:val="32"/>
          <w:szCs w:val="32"/>
        </w:rPr>
      </w:pPr>
    </w:p>
    <w:p>
      <w:pPr>
        <w:widowControl/>
        <w:spacing w:line="576" w:lineRule="exact"/>
        <w:rPr>
          <w:rFonts w:eastAsia="仿宋_GB2312"/>
          <w:kern w:val="0"/>
          <w:sz w:val="15"/>
          <w:szCs w:val="15"/>
        </w:rPr>
      </w:pPr>
      <w:r>
        <w:rPr>
          <w:rFonts w:eastAsia="仿宋_GB2312"/>
          <w:kern w:val="0"/>
          <w:sz w:val="32"/>
          <w:szCs w:val="32"/>
        </w:rPr>
        <w:t xml:space="preserve"> </w:t>
      </w:r>
      <w:r>
        <w:rPr>
          <w:rFonts w:hint="eastAsia" w:eastAsia="仿宋_GB2312"/>
          <w:kern w:val="0"/>
          <w:sz w:val="32"/>
          <w:szCs w:val="32"/>
          <w:lang w:val="en-US" w:eastAsia="zh-CN"/>
        </w:rPr>
        <w:t xml:space="preserve"> </w:t>
      </w:r>
    </w:p>
    <w:p>
      <w:pPr>
        <w:widowControl/>
        <w:spacing w:line="576" w:lineRule="exact"/>
        <w:rPr>
          <w:rFonts w:eastAsia="仿宋_GB2312"/>
          <w:sz w:val="24"/>
        </w:rPr>
      </w:pPr>
      <w:r>
        <w:rPr>
          <w:rFonts w:hint="eastAsia" w:ascii="Times New Roman" w:hAnsi="Times New Roman" w:eastAsia="仿宋_GB2312" w:cs="Times New Roman"/>
          <w:kern w:val="0"/>
          <w:sz w:val="32"/>
          <w:szCs w:val="32"/>
          <w:lang w:val="en-US" w:eastAsia="zh-CN"/>
        </w:rPr>
        <w:t xml:space="preserve">     </w:t>
      </w:r>
    </w:p>
    <w:p>
      <w:pPr>
        <w:widowControl/>
        <w:spacing w:line="576" w:lineRule="exact"/>
        <w:jc w:val="center"/>
        <w:rPr>
          <w:rFonts w:hint="eastAsia" w:ascii="Times New Roman" w:hAnsi="Times New Roman" w:eastAsia="方正小标宋简体" w:cs="Times New Roman"/>
          <w:b/>
          <w:color w:val="auto"/>
          <w:sz w:val="44"/>
          <w:szCs w:val="44"/>
          <w:lang w:eastAsia="zh-CN"/>
        </w:rPr>
      </w:pPr>
    </w:p>
    <w:p>
      <w:pPr>
        <w:widowControl/>
        <w:spacing w:line="576" w:lineRule="exact"/>
        <w:ind w:firstLine="883" w:firstLineChars="200"/>
        <w:jc w:val="center"/>
        <w:rPr>
          <w:rFonts w:hint="eastAsia" w:ascii="Times New Roman" w:hAnsi="Times New Roman" w:eastAsia="方正小标宋简体" w:cs="Times New Roman"/>
          <w:b/>
          <w:color w:val="auto"/>
          <w:sz w:val="44"/>
          <w:szCs w:val="44"/>
        </w:rPr>
      </w:pPr>
    </w:p>
    <w:p>
      <w:pPr>
        <w:widowControl/>
        <w:spacing w:line="576" w:lineRule="exact"/>
        <w:rPr>
          <w:rFonts w:eastAsia="仿宋_GB2312"/>
          <w:sz w:val="24"/>
        </w:rPr>
      </w:pPr>
      <w:r>
        <w:rPr>
          <w:rFonts w:hint="eastAsia" w:eastAsia="仿宋_GB2312"/>
          <w:kern w:val="0"/>
          <w:sz w:val="32"/>
          <w:szCs w:val="32"/>
          <w:lang w:val="en-US" w:eastAsia="zh-CN"/>
        </w:rPr>
        <w:t xml:space="preserve">  </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yNzk0Y2JhODJmZWI5YTBkZjM5OWQwY2M5YWU1ODMifQ=="/>
  </w:docVars>
  <w:rsids>
    <w:rsidRoot w:val="361A05A7"/>
    <w:rsid w:val="361A05A7"/>
    <w:rsid w:val="40BC33B2"/>
    <w:rsid w:val="5B280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488</Words>
  <Characters>518</Characters>
  <Lines>0</Lines>
  <Paragraphs>0</Paragraphs>
  <TotalTime>5</TotalTime>
  <ScaleCrop>false</ScaleCrop>
  <LinksUpToDate>false</LinksUpToDate>
  <CharactersWithSpaces>533</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2022-06-13T07:15:00Z</dcterms:created>
  <dc:creator>hl</dc:creator>
  <cp:lastModifiedBy>hl</cp:lastModifiedBy>
  <cp:lastPrinted>2022-06-13T07:21:43Z</cp:lastPrinted>
  <dcterms:modified xsi:type="dcterms:W3CDTF">2022-06-13T07:29:46Z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7A1871F3B9984EEF8CADBAC65E4910A9</vt:lpwstr>
  </property>
</Properties>
</file>