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rPr>
      </w:pPr>
      <w:r>
        <w:rPr>
          <w:rFonts w:hint="eastAsia" w:ascii="仿宋_GB2312" w:eastAsia="仿宋_GB2312"/>
          <w:sz w:val="30"/>
          <w:szCs w:val="30"/>
        </w:rPr>
        <w:t>附件</w:t>
      </w: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120"/>
          <w:szCs w:val="120"/>
        </w:rPr>
      </w:pPr>
      <w:r>
        <w:rPr>
          <w:rFonts w:hint="eastAsia" w:ascii="仿宋_GB2312" w:eastAsia="仿宋_GB2312"/>
          <w:b/>
          <w:sz w:val="120"/>
          <w:szCs w:val="120"/>
        </w:rPr>
        <w:t>城东区</w:t>
      </w:r>
    </w:p>
    <w:p>
      <w:pPr>
        <w:jc w:val="center"/>
        <w:rPr>
          <w:rFonts w:hint="eastAsia" w:ascii="仿宋_GB2312" w:eastAsia="仿宋_GB2312"/>
          <w:b/>
          <w:sz w:val="120"/>
          <w:szCs w:val="120"/>
        </w:rPr>
      </w:pPr>
      <w:r>
        <w:rPr>
          <w:rFonts w:hint="eastAsia" w:ascii="仿宋_GB2312" w:eastAsia="仿宋_GB2312"/>
          <w:b/>
          <w:sz w:val="120"/>
          <w:szCs w:val="120"/>
        </w:rPr>
        <w:t>国土资源局</w:t>
      </w:r>
    </w:p>
    <w:p>
      <w:pPr>
        <w:jc w:val="center"/>
        <w:rPr>
          <w:rFonts w:hint="eastAsia" w:ascii="仿宋_GB2312" w:eastAsia="仿宋_GB2312"/>
          <w:b/>
          <w:sz w:val="120"/>
          <w:szCs w:val="120"/>
        </w:rPr>
      </w:pPr>
    </w:p>
    <w:p>
      <w:pPr>
        <w:jc w:val="center"/>
        <w:rPr>
          <w:rFonts w:hint="eastAsia" w:ascii="仿宋_GB2312" w:eastAsia="仿宋_GB2312"/>
          <w:b/>
          <w:sz w:val="120"/>
          <w:szCs w:val="120"/>
        </w:rPr>
      </w:pPr>
      <w:r>
        <w:rPr>
          <w:rFonts w:hint="eastAsia" w:ascii="仿宋_GB2312" w:eastAsia="仿宋_GB2312"/>
          <w:b/>
          <w:sz w:val="120"/>
          <w:szCs w:val="120"/>
        </w:rPr>
        <w:t>2016年部门决算</w:t>
      </w:r>
    </w:p>
    <w:p>
      <w:pPr>
        <w:jc w:val="center"/>
        <w:rPr>
          <w:rFonts w:hint="eastAsia" w:ascii="仿宋_GB2312" w:eastAsia="仿宋_GB2312"/>
          <w:b/>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b/>
          <w:sz w:val="52"/>
          <w:szCs w:val="52"/>
        </w:rPr>
      </w:pPr>
      <w:r>
        <w:rPr>
          <w:rFonts w:hint="eastAsia" w:ascii="仿宋_GB2312" w:eastAsia="仿宋_GB2312"/>
          <w:b/>
          <w:sz w:val="52"/>
          <w:szCs w:val="52"/>
        </w:rPr>
        <w:t>目录</w:t>
      </w:r>
    </w:p>
    <w:p>
      <w:pPr>
        <w:ind w:firstLine="640" w:firstLineChars="200"/>
        <w:rPr>
          <w:rFonts w:hint="eastAsia" w:ascii="仿宋_GB2312" w:eastAsia="仿宋_GB2312"/>
          <w:sz w:val="32"/>
          <w:szCs w:val="32"/>
        </w:rPr>
      </w:pPr>
    </w:p>
    <w:p>
      <w:pPr>
        <w:ind w:firstLine="643" w:firstLineChars="200"/>
        <w:rPr>
          <w:rFonts w:hint="eastAsia" w:ascii="仿宋_GB2312" w:eastAsia="仿宋_GB2312"/>
          <w:b/>
          <w:sz w:val="32"/>
          <w:szCs w:val="32"/>
        </w:rPr>
      </w:pPr>
      <w:r>
        <w:rPr>
          <w:rFonts w:hint="eastAsia" w:ascii="仿宋_GB2312" w:eastAsia="仿宋_GB2312"/>
          <w:b/>
          <w:sz w:val="32"/>
          <w:szCs w:val="32"/>
        </w:rPr>
        <w:t>第一部分城东区国土资源局概况</w:t>
      </w:r>
    </w:p>
    <w:p>
      <w:pPr>
        <w:ind w:firstLine="1280" w:firstLineChars="400"/>
        <w:rPr>
          <w:rFonts w:hint="eastAsia" w:ascii="仿宋_GB2312" w:eastAsia="仿宋_GB2312"/>
          <w:sz w:val="32"/>
          <w:szCs w:val="32"/>
        </w:rPr>
      </w:pPr>
      <w:r>
        <w:rPr>
          <w:rFonts w:hint="eastAsia" w:ascii="仿宋_GB2312" w:eastAsia="仿宋_GB2312"/>
          <w:sz w:val="32"/>
          <w:szCs w:val="32"/>
        </w:rPr>
        <w:t>一、部门职能</w:t>
      </w:r>
    </w:p>
    <w:p>
      <w:pPr>
        <w:ind w:firstLine="1280" w:firstLineChars="400"/>
        <w:rPr>
          <w:rFonts w:hint="eastAsia" w:ascii="仿宋_GB2312" w:eastAsia="仿宋_GB2312"/>
          <w:sz w:val="32"/>
          <w:szCs w:val="32"/>
        </w:rPr>
      </w:pPr>
      <w:r>
        <w:rPr>
          <w:rFonts w:hint="eastAsia" w:ascii="仿宋_GB2312" w:eastAsia="仿宋_GB2312"/>
          <w:sz w:val="32"/>
          <w:szCs w:val="32"/>
        </w:rPr>
        <w:t>二、部门决算单位构成</w:t>
      </w:r>
    </w:p>
    <w:p>
      <w:pPr>
        <w:ind w:firstLine="643" w:firstLineChars="200"/>
        <w:rPr>
          <w:rFonts w:hint="eastAsia" w:ascii="仿宋_GB2312" w:eastAsia="仿宋_GB2312"/>
          <w:b/>
          <w:sz w:val="32"/>
          <w:szCs w:val="32"/>
        </w:rPr>
      </w:pPr>
      <w:r>
        <w:rPr>
          <w:rFonts w:hint="eastAsia" w:ascii="仿宋_GB2312" w:eastAsia="仿宋_GB2312"/>
          <w:b/>
          <w:sz w:val="32"/>
          <w:szCs w:val="32"/>
        </w:rPr>
        <w:t>第二部分城东区国土资源局2016年度部门决算报表</w:t>
      </w:r>
    </w:p>
    <w:p>
      <w:pPr>
        <w:ind w:firstLine="1280" w:firstLineChars="400"/>
        <w:jc w:val="left"/>
        <w:rPr>
          <w:rFonts w:hint="eastAsia" w:ascii="仿宋_GB2312" w:eastAsia="仿宋_GB2312"/>
          <w:sz w:val="32"/>
          <w:szCs w:val="32"/>
        </w:rPr>
      </w:pPr>
      <w:r>
        <w:rPr>
          <w:rFonts w:hint="eastAsia" w:ascii="仿宋_GB2312" w:eastAsia="仿宋_GB2312"/>
          <w:sz w:val="32"/>
          <w:szCs w:val="32"/>
        </w:rPr>
        <w:t>一、收入支出决算总表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二、收入决算表</w:t>
      </w:r>
    </w:p>
    <w:p>
      <w:pPr>
        <w:ind w:firstLine="1280" w:firstLineChars="400"/>
        <w:rPr>
          <w:rFonts w:hint="eastAsia" w:ascii="仿宋_GB2312" w:eastAsia="仿宋_GB2312"/>
          <w:sz w:val="32"/>
          <w:szCs w:val="32"/>
        </w:rPr>
      </w:pPr>
      <w:r>
        <w:rPr>
          <w:rFonts w:hint="eastAsia" w:ascii="仿宋_GB2312" w:eastAsia="仿宋_GB2312"/>
          <w:sz w:val="32"/>
          <w:szCs w:val="32"/>
        </w:rPr>
        <w:t>三、支出决算表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hint="eastAsia" w:ascii="仿宋_GB2312" w:eastAsia="仿宋_GB2312"/>
          <w:b/>
          <w:sz w:val="32"/>
          <w:szCs w:val="32"/>
        </w:rPr>
      </w:pPr>
      <w:r>
        <w:rPr>
          <w:rFonts w:hint="eastAsia" w:ascii="仿宋_GB2312" w:eastAsia="仿宋_GB2312"/>
          <w:b/>
          <w:sz w:val="32"/>
          <w:szCs w:val="32"/>
        </w:rPr>
        <w:t>第三部分城东区国土资源局2016年度部门决算情况说明</w:t>
      </w: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44"/>
          <w:szCs w:val="44"/>
        </w:rPr>
      </w:pPr>
      <w:r>
        <w:rPr>
          <w:rFonts w:hint="eastAsia" w:ascii="仿宋_GB2312" w:eastAsia="仿宋_GB2312"/>
          <w:b/>
          <w:sz w:val="32"/>
          <w:szCs w:val="32"/>
        </w:rPr>
        <w:t>第四部分名词解释</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第一部分城东区国土资源局部门概况</w:t>
      </w:r>
    </w:p>
    <w:p>
      <w:pPr>
        <w:ind w:firstLine="320" w:firstLineChars="100"/>
        <w:rPr>
          <w:rFonts w:hint="eastAsia" w:ascii="仿宋_GB2312" w:eastAsia="仿宋_GB2312"/>
          <w:sz w:val="32"/>
          <w:szCs w:val="32"/>
        </w:rPr>
      </w:pPr>
    </w:p>
    <w:p>
      <w:pPr>
        <w:ind w:firstLine="639" w:firstLineChars="199"/>
        <w:rPr>
          <w:rFonts w:hint="eastAsia" w:ascii="仿宋_GB2312" w:eastAsia="仿宋_GB2312"/>
          <w:sz w:val="32"/>
          <w:szCs w:val="32"/>
        </w:rPr>
      </w:pPr>
      <w:r>
        <w:rPr>
          <w:rFonts w:hint="eastAsia" w:ascii="仿宋_GB2312" w:eastAsia="仿宋_GB2312"/>
          <w:b/>
          <w:sz w:val="32"/>
          <w:szCs w:val="32"/>
        </w:rPr>
        <w:t>一、部门职能</w:t>
      </w:r>
      <w:r>
        <w:rPr>
          <w:rFonts w:hint="eastAsia" w:ascii="仿宋_GB2312" w:eastAsia="仿宋_GB2312"/>
          <w:sz w:val="32"/>
          <w:szCs w:val="32"/>
        </w:rPr>
        <w:t>（为机构改革后“三定方案”确定的职能）</w:t>
      </w:r>
    </w:p>
    <w:p>
      <w:pPr>
        <w:ind w:firstLine="636" w:firstLineChars="199"/>
        <w:rPr>
          <w:rFonts w:hint="eastAsia" w:ascii="仿宋_GB2312" w:eastAsia="仿宋_GB2312"/>
          <w:sz w:val="32"/>
          <w:szCs w:val="32"/>
        </w:rPr>
      </w:pPr>
      <w:r>
        <w:rPr>
          <w:rFonts w:hint="eastAsia" w:ascii="仿宋_GB2312" w:eastAsia="仿宋_GB2312"/>
          <w:sz w:val="32"/>
          <w:szCs w:val="32"/>
        </w:rPr>
        <w:t>执行土地资源、矿产资源等自然资源管理的法律、法规和技术标准规程；负责辖区集体土地确权登记发证工作；负责辖区建设用地批后监管工作；组织实施辖区土地利用总体规划、矿产资源总体规划及其他专项规划；负责辖区耕地保护和基本农田保护工作；负责辖区矿产资源开发利用的监督管理工作；承担辖区地质环境保护和地质灾害调查和防治工作；负责辖区建设项目用地预审的初审工作；负责辖区辖区年度土地变更调查工作；负责辖区土地、矿产违法案件的动态巡查和违法案件的调查处理工作；负责辖区国有划拨用地租赁费收取工作；负责辖区重点项目及基础设施项目土地征收工作；负责辖区储备用地拆迁、成本测算和储备计划上报工作；承办区政府、市国土资源局交办的其他事项。</w:t>
      </w:r>
    </w:p>
    <w:p>
      <w:pPr>
        <w:ind w:firstLine="639" w:firstLineChars="199"/>
        <w:rPr>
          <w:rFonts w:hint="eastAsia"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hint="eastAsia" w:ascii="仿宋_GB2312" w:eastAsia="仿宋_GB2312"/>
          <w:sz w:val="32"/>
          <w:szCs w:val="32"/>
        </w:rPr>
      </w:pPr>
      <w:r>
        <w:rPr>
          <w:rFonts w:hint="eastAsia" w:ascii="仿宋_GB2312" w:eastAsia="仿宋_GB2312"/>
          <w:sz w:val="32"/>
          <w:szCs w:val="32"/>
        </w:rPr>
        <w:t>2016年度决算编制范围包括各级预算单位1个。其中二级预算单位0个。各级单位年末人数24人，其中在职人员13人，离休人员0人，退休人员1人，其他人员10人。</w:t>
      </w:r>
    </w:p>
    <w:p>
      <w:pPr>
        <w:ind w:firstLine="640" w:firstLineChars="200"/>
        <w:rPr>
          <w:rFonts w:hint="eastAsia" w:ascii="仿宋_GB2312" w:eastAsia="仿宋_GB2312"/>
          <w:sz w:val="32"/>
          <w:szCs w:val="32"/>
        </w:rPr>
      </w:pPr>
    </w:p>
    <w:p>
      <w:pP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r>
        <w:rPr>
          <w:rFonts w:hint="eastAsia" w:ascii="仿宋_GB2312" w:eastAsia="仿宋_GB2312"/>
          <w:b/>
          <w:sz w:val="32"/>
          <w:szCs w:val="32"/>
        </w:rPr>
        <w:t>第二部分城东区国土资源局2016年度部门决算报表</w:t>
      </w:r>
    </w:p>
    <w:tbl>
      <w:tblPr>
        <w:tblStyle w:val="5"/>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noWrap/>
            <w:vAlign w:val="center"/>
          </w:tcPr>
          <w:tbl>
            <w:tblPr>
              <w:tblStyle w:val="5"/>
              <w:tblW w:w="9201" w:type="dxa"/>
              <w:tblInd w:w="0" w:type="dxa"/>
              <w:tblLayout w:type="fixed"/>
              <w:tblCellMar>
                <w:top w:w="0" w:type="dxa"/>
                <w:left w:w="108" w:type="dxa"/>
                <w:bottom w:w="0" w:type="dxa"/>
                <w:right w:w="108" w:type="dxa"/>
              </w:tblCellMar>
            </w:tblPr>
            <w:tblGrid>
              <w:gridCol w:w="2884"/>
              <w:gridCol w:w="425"/>
              <w:gridCol w:w="66"/>
              <w:gridCol w:w="456"/>
              <w:gridCol w:w="665"/>
              <w:gridCol w:w="2750"/>
              <w:gridCol w:w="456"/>
              <w:gridCol w:w="1499"/>
            </w:tblGrid>
            <w:tr>
              <w:tblPrEx>
                <w:tblCellMar>
                  <w:top w:w="0" w:type="dxa"/>
                  <w:left w:w="108" w:type="dxa"/>
                  <w:bottom w:w="0" w:type="dxa"/>
                  <w:right w:w="108" w:type="dxa"/>
                </w:tblCellMar>
              </w:tblPrEx>
              <w:trPr>
                <w:trHeight w:val="255" w:hRule="atLeast"/>
              </w:trPr>
              <w:tc>
                <w:tcPr>
                  <w:tcW w:w="9201" w:type="dxa"/>
                  <w:gridSpan w:val="8"/>
                  <w:tcBorders>
                    <w:top w:val="nil"/>
                    <w:left w:val="nil"/>
                    <w:bottom w:val="nil"/>
                    <w:right w:val="nil"/>
                  </w:tcBorders>
                  <w:shd w:val="clear" w:color="auto" w:fill="auto"/>
                  <w:noWrap/>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noWrap/>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noWrap/>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4496" w:type="dxa"/>
                  <w:gridSpan w:val="5"/>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20639.36</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7.5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920.92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19534.17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159.04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9.16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20639.36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bCs/>
                      <w:color w:val="000000"/>
                      <w:kern w:val="0"/>
                      <w:sz w:val="16"/>
                      <w:szCs w:val="16"/>
                    </w:rPr>
                  </w:pPr>
                  <w:r>
                    <w:rPr>
                      <w:rFonts w:hint="eastAsia" w:ascii="仿宋_GB2312" w:hAnsi="Arial" w:eastAsia="仿宋_GB2312" w:cs="Arial"/>
                      <w:b/>
                      <w:bCs/>
                      <w:color w:val="000000"/>
                      <w:kern w:val="0"/>
                      <w:sz w:val="16"/>
                      <w:szCs w:val="16"/>
                    </w:rPr>
                    <w:t xml:space="preserve">　      </w:t>
                  </w:r>
                  <w:r>
                    <w:rPr>
                      <w:rFonts w:hint="eastAsia" w:ascii="仿宋_GB2312" w:hAnsi="Arial" w:eastAsia="仿宋_GB2312" w:cs="Arial"/>
                      <w:bCs/>
                      <w:color w:val="000000"/>
                      <w:kern w:val="0"/>
                      <w:sz w:val="16"/>
                      <w:szCs w:val="16"/>
                    </w:rPr>
                    <w:t>20644.83</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用事业基金弥补收支差额</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结余分配</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年初结转和结余</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9.36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交纳所得税</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提取职工福利基金</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转入事业基金</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3.88</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118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25"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1187" w:type="dxa"/>
                  <w:gridSpan w:val="3"/>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20648.72　</w:t>
                  </w:r>
                </w:p>
              </w:tc>
              <w:tc>
                <w:tcPr>
                  <w:tcW w:w="2750" w:type="dxa"/>
                  <w:tcBorders>
                    <w:top w:val="nil"/>
                    <w:left w:val="nil"/>
                    <w:bottom w:val="single" w:color="000000" w:sz="8" w:space="0"/>
                    <w:right w:val="single" w:color="000000" w:sz="4" w:space="0"/>
                  </w:tcBorders>
                  <w:shd w:val="clear" w:color="auto" w:fill="auto"/>
                  <w:noWrap/>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noWrap/>
                  <w:vAlign w:val="center"/>
                </w:tcPr>
                <w:p>
                  <w:pPr>
                    <w:widowControl/>
                    <w:jc w:val="left"/>
                    <w:rPr>
                      <w:rFonts w:ascii="仿宋_GB2312" w:hAnsi="Arial" w:eastAsia="仿宋_GB2312" w:cs="Arial"/>
                      <w:bCs/>
                      <w:color w:val="000000"/>
                      <w:kern w:val="0"/>
                      <w:sz w:val="16"/>
                      <w:szCs w:val="16"/>
                    </w:rPr>
                  </w:pPr>
                  <w:r>
                    <w:rPr>
                      <w:rFonts w:hint="eastAsia" w:ascii="仿宋_GB2312" w:hAnsi="Arial" w:eastAsia="仿宋_GB2312" w:cs="Arial"/>
                      <w:b/>
                      <w:bCs/>
                      <w:color w:val="000000"/>
                      <w:kern w:val="0"/>
                      <w:sz w:val="16"/>
                      <w:szCs w:val="16"/>
                    </w:rPr>
                    <w:t xml:space="preserve">　      </w:t>
                  </w:r>
                  <w:r>
                    <w:rPr>
                      <w:rFonts w:hint="eastAsia" w:ascii="仿宋_GB2312" w:hAnsi="Arial" w:eastAsia="仿宋_GB2312" w:cs="Arial"/>
                      <w:bCs/>
                      <w:color w:val="000000"/>
                      <w:kern w:val="0"/>
                      <w:sz w:val="16"/>
                      <w:szCs w:val="16"/>
                    </w:rPr>
                    <w:t>20648.72</w:t>
                  </w:r>
                </w:p>
              </w:tc>
            </w:tr>
          </w:tbl>
          <w:p>
            <w:pPr>
              <w:widowControl/>
              <w:jc w:val="left"/>
              <w:rPr>
                <w:rFonts w:hint="eastAsia" w:ascii="仿宋_GB2312" w:hAnsi="Arial" w:eastAsia="仿宋_GB2312" w:cs="Arial"/>
                <w:b/>
                <w:bCs/>
                <w:kern w:val="0"/>
                <w:sz w:val="16"/>
                <w:szCs w:val="16"/>
              </w:rPr>
            </w:pPr>
          </w:p>
          <w:tbl>
            <w:tblPr>
              <w:tblStyle w:val="5"/>
              <w:tblW w:w="9447" w:type="dxa"/>
              <w:tblInd w:w="0" w:type="dxa"/>
              <w:tblLayout w:type="fixed"/>
              <w:tblCellMar>
                <w:top w:w="0" w:type="dxa"/>
                <w:left w:w="108" w:type="dxa"/>
                <w:bottom w:w="0" w:type="dxa"/>
                <w:right w:w="108" w:type="dxa"/>
              </w:tblCellMar>
            </w:tblPr>
            <w:tblGrid>
              <w:gridCol w:w="376"/>
              <w:gridCol w:w="376"/>
              <w:gridCol w:w="376"/>
              <w:gridCol w:w="1875"/>
              <w:gridCol w:w="416"/>
              <w:gridCol w:w="656"/>
              <w:gridCol w:w="332"/>
              <w:gridCol w:w="856"/>
              <w:gridCol w:w="944"/>
              <w:gridCol w:w="720"/>
              <w:gridCol w:w="540"/>
              <w:gridCol w:w="540"/>
              <w:gridCol w:w="900"/>
              <w:gridCol w:w="540"/>
            </w:tblGrid>
            <w:tr>
              <w:tblPrEx>
                <w:tblCellMar>
                  <w:top w:w="0" w:type="dxa"/>
                  <w:left w:w="108" w:type="dxa"/>
                  <w:bottom w:w="0" w:type="dxa"/>
                  <w:right w:w="108" w:type="dxa"/>
                </w:tblCellMar>
              </w:tblPrEx>
              <w:trPr>
                <w:trHeight w:val="255" w:hRule="atLeast"/>
              </w:trPr>
              <w:tc>
                <w:tcPr>
                  <w:tcW w:w="9447" w:type="dxa"/>
                  <w:gridSpan w:val="14"/>
                  <w:tcBorders>
                    <w:top w:val="nil"/>
                    <w:left w:val="nil"/>
                    <w:bottom w:val="nil"/>
                    <w:right w:val="nil"/>
                  </w:tcBorders>
                  <w:shd w:val="clear" w:color="auto" w:fill="auto"/>
                  <w:noWrap/>
                  <w:vAlign w:val="bottom"/>
                </w:tcPr>
                <w:p>
                  <w:pPr>
                    <w:widowControl/>
                    <w:jc w:val="center"/>
                    <w:rPr>
                      <w:rFonts w:hint="eastAsia"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CellMar>
                  <w:top w:w="0" w:type="dxa"/>
                  <w:left w:w="108" w:type="dxa"/>
                  <w:bottom w:w="0" w:type="dxa"/>
                  <w:right w:w="108" w:type="dxa"/>
                </w:tblCellMar>
              </w:tblPrEx>
              <w:trPr>
                <w:trHeight w:val="255" w:hRule="atLeast"/>
              </w:trPr>
              <w:tc>
                <w:tcPr>
                  <w:tcW w:w="3003" w:type="dxa"/>
                  <w:gridSpan w:val="4"/>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4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32"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7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5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980"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CellMar>
                  <w:top w:w="0" w:type="dxa"/>
                  <w:left w:w="108" w:type="dxa"/>
                  <w:bottom w:w="0" w:type="dxa"/>
                  <w:right w:w="108" w:type="dxa"/>
                </w:tblCellMar>
              </w:tblPrEx>
              <w:trPr>
                <w:trHeight w:val="255" w:hRule="atLeast"/>
              </w:trPr>
              <w:tc>
                <w:tcPr>
                  <w:tcW w:w="4407" w:type="dxa"/>
                  <w:gridSpan w:val="7"/>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部门：城东区国土资源局</w:t>
                  </w:r>
                </w:p>
              </w:tc>
              <w:tc>
                <w:tcPr>
                  <w:tcW w:w="8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720"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p>
              </w:tc>
              <w:tc>
                <w:tcPr>
                  <w:tcW w:w="5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980"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4407"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856"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44"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72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54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54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540" w:type="dxa"/>
                  <w:vMerge w:val="restart"/>
                  <w:tcBorders>
                    <w:top w:val="single" w:color="000000" w:sz="8" w:space="0"/>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327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856"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44"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72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279" w:type="dxa"/>
                  <w:gridSpan w:val="4"/>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856"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44"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72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279" w:type="dxa"/>
                  <w:gridSpan w:val="4"/>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856"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44"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72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3279"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856"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44"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72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54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54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540" w:type="dxa"/>
                  <w:tcBorders>
                    <w:top w:val="nil"/>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27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20639.36</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20639.36</w:t>
                  </w:r>
                </w:p>
              </w:tc>
              <w:tc>
                <w:tcPr>
                  <w:tcW w:w="9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20639.36</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政府办公厅（室）及相关机构事务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2010301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教育支出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成人教育</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2050499</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其他成人教育支出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920.92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xml:space="preserve"> 920.92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医疗卫生与计划生育管理事务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公立医院</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综合医院</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基层医疗卫生机构</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乡镇卫生院</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公共卫生</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疾病预防控制机构</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医疗保障</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行政单位医疗</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城乡社区公共设施</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2120399</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其他城乡社区公共设施支出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1"/>
                      <w:szCs w:val="11"/>
                    </w:rPr>
                  </w:pPr>
                  <w:r>
                    <w:rPr>
                      <w:rFonts w:hint="eastAsia" w:ascii="宋体" w:hAnsi="宋体" w:cs="Arial"/>
                      <w:color w:val="000000"/>
                      <w:kern w:val="0"/>
                      <w:sz w:val="11"/>
                      <w:szCs w:val="11"/>
                    </w:rPr>
                    <w:t>新增建设用地土地有偿使用费及对应专项债务收入安排的支出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基本农田建设和保护支出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国土资源气象等事务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153.56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153.56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147.84</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147.84</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45.63</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45.63</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2200105</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土地资源调查</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2200106</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土地资源利用与保护</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2200109</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国土资源调查</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2200111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地质灾害防治</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测绘事务</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2200304</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基础测绘</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住房保障支出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住房改革支出</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2210201</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住房公积金</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2210203</w:t>
                  </w:r>
                </w:p>
              </w:tc>
              <w:tc>
                <w:tcPr>
                  <w:tcW w:w="3279"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购房补贴</w:t>
                  </w:r>
                </w:p>
              </w:tc>
              <w:tc>
                <w:tcPr>
                  <w:tcW w:w="85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94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7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noWrap/>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noWrap/>
            <w:vAlign w:val="center"/>
          </w:tcPr>
          <w:p>
            <w:pPr>
              <w:widowControl/>
              <w:jc w:val="right"/>
              <w:rPr>
                <w:rFonts w:ascii="仿宋_GB2312" w:hAnsi="Arial" w:eastAsia="仿宋_GB2312" w:cs="Arial"/>
                <w:kern w:val="0"/>
                <w:sz w:val="16"/>
                <w:szCs w:val="16"/>
              </w:rPr>
            </w:pPr>
          </w:p>
        </w:tc>
      </w:tr>
    </w:tbl>
    <w:p>
      <w:pPr>
        <w:jc w:val="left"/>
        <w:rPr>
          <w:rFonts w:hint="eastAsia" w:ascii="仿宋_GB2312" w:eastAsia="仿宋_GB2312"/>
          <w:b/>
          <w:sz w:val="32"/>
          <w:szCs w:val="32"/>
        </w:rPr>
      </w:pPr>
    </w:p>
    <w:p>
      <w:pPr>
        <w:ind w:firstLine="321" w:firstLineChars="100"/>
        <w:jc w:val="left"/>
        <w:rPr>
          <w:rFonts w:hint="eastAsia" w:ascii="仿宋_GB2312" w:eastAsia="仿宋_GB2312"/>
          <w:b/>
          <w:sz w:val="32"/>
          <w:szCs w:val="32"/>
        </w:rPr>
      </w:pPr>
    </w:p>
    <w:tbl>
      <w:tblPr>
        <w:tblStyle w:val="5"/>
        <w:tblW w:w="10419" w:type="dxa"/>
        <w:tblInd w:w="93" w:type="dxa"/>
        <w:tblLayout w:type="fixed"/>
        <w:tblCellMar>
          <w:top w:w="0" w:type="dxa"/>
          <w:left w:w="108" w:type="dxa"/>
          <w:bottom w:w="0" w:type="dxa"/>
          <w:right w:w="108" w:type="dxa"/>
        </w:tblCellMar>
      </w:tblPr>
      <w:tblGrid>
        <w:gridCol w:w="376"/>
        <w:gridCol w:w="376"/>
        <w:gridCol w:w="233"/>
        <w:gridCol w:w="143"/>
        <w:gridCol w:w="555"/>
        <w:gridCol w:w="628"/>
        <w:gridCol w:w="2183"/>
        <w:gridCol w:w="921"/>
        <w:gridCol w:w="900"/>
        <w:gridCol w:w="900"/>
        <w:gridCol w:w="900"/>
        <w:gridCol w:w="540"/>
        <w:gridCol w:w="1136"/>
        <w:gridCol w:w="392"/>
        <w:gridCol w:w="236"/>
      </w:tblGrid>
      <w:tr>
        <w:tblPrEx>
          <w:tblCellMar>
            <w:top w:w="0" w:type="dxa"/>
            <w:left w:w="108" w:type="dxa"/>
            <w:bottom w:w="0" w:type="dxa"/>
            <w:right w:w="108" w:type="dxa"/>
          </w:tblCellMar>
        </w:tblPrEx>
        <w:trPr>
          <w:trHeight w:val="255" w:hRule="atLeast"/>
        </w:trPr>
        <w:tc>
          <w:tcPr>
            <w:tcW w:w="985"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9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183"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821" w:type="dxa"/>
            <w:gridSpan w:val="2"/>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068"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36" w:type="dxa"/>
            <w:tcBorders>
              <w:top w:val="nil"/>
              <w:left w:val="nil"/>
              <w:bottom w:val="nil"/>
              <w:right w:val="nil"/>
            </w:tcBorders>
            <w:shd w:val="clear" w:color="auto" w:fill="auto"/>
            <w:noWrap/>
            <w:vAlign w:val="bottom"/>
          </w:tcPr>
          <w:p>
            <w:pPr>
              <w:widowControl/>
              <w:jc w:val="left"/>
              <w:rPr>
                <w:rFonts w:hint="eastAsia" w:ascii="Arial" w:hAnsi="Arial" w:cs="Arial"/>
                <w:color w:val="000000"/>
                <w:kern w:val="0"/>
                <w:sz w:val="16"/>
                <w:szCs w:val="16"/>
              </w:rPr>
            </w:pPr>
          </w:p>
        </w:tc>
      </w:tr>
      <w:tr>
        <w:tblPrEx>
          <w:tblCellMar>
            <w:top w:w="0" w:type="dxa"/>
            <w:left w:w="108" w:type="dxa"/>
            <w:bottom w:w="0" w:type="dxa"/>
            <w:right w:w="108" w:type="dxa"/>
          </w:tblCellMar>
        </w:tblPrEx>
        <w:trPr>
          <w:gridAfter w:val="2"/>
          <w:wAfter w:w="628" w:type="dxa"/>
          <w:trHeight w:val="255" w:hRule="atLeast"/>
        </w:trPr>
        <w:tc>
          <w:tcPr>
            <w:tcW w:w="985"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9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6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183"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21"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67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CellMar>
            <w:top w:w="0" w:type="dxa"/>
            <w:left w:w="108" w:type="dxa"/>
            <w:bottom w:w="0" w:type="dxa"/>
            <w:right w:w="108" w:type="dxa"/>
          </w:tblCellMar>
        </w:tblPrEx>
        <w:trPr>
          <w:gridAfter w:val="2"/>
          <w:wAfter w:w="628" w:type="dxa"/>
          <w:trHeight w:val="255" w:hRule="atLeast"/>
        </w:trPr>
        <w:tc>
          <w:tcPr>
            <w:tcW w:w="4494" w:type="dxa"/>
            <w:gridSpan w:val="7"/>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部门：城东区国土资源局</w:t>
            </w:r>
          </w:p>
        </w:tc>
        <w:tc>
          <w:tcPr>
            <w:tcW w:w="921"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676"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gridAfter w:val="2"/>
          <w:wAfter w:w="628" w:type="dxa"/>
          <w:trHeight w:val="308" w:hRule="atLeast"/>
        </w:trPr>
        <w:tc>
          <w:tcPr>
            <w:tcW w:w="4494"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21"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0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540" w:type="dxa"/>
            <w:vMerge w:val="restart"/>
            <w:tcBorders>
              <w:top w:val="single" w:color="000000" w:sz="8"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136" w:type="dxa"/>
            <w:vMerge w:val="restart"/>
            <w:tcBorders>
              <w:top w:val="single" w:color="000000" w:sz="8" w:space="0"/>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CellMar>
            <w:top w:w="0" w:type="dxa"/>
            <w:left w:w="108" w:type="dxa"/>
            <w:bottom w:w="0" w:type="dxa"/>
            <w:right w:w="108" w:type="dxa"/>
          </w:tblCellMar>
        </w:tblPrEx>
        <w:trPr>
          <w:gridAfter w:val="2"/>
          <w:wAfter w:w="628" w:type="dxa"/>
          <w:trHeight w:val="312" w:hRule="atLeast"/>
        </w:trPr>
        <w:tc>
          <w:tcPr>
            <w:tcW w:w="1128" w:type="dxa"/>
            <w:gridSpan w:val="4"/>
            <w:vMerge w:val="restart"/>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3366"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2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1136"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12" w:hRule="atLeast"/>
        </w:trPr>
        <w:tc>
          <w:tcPr>
            <w:tcW w:w="1128"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366" w:type="dxa"/>
            <w:gridSpan w:val="3"/>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2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1136"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12" w:hRule="atLeast"/>
        </w:trPr>
        <w:tc>
          <w:tcPr>
            <w:tcW w:w="1128"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3366" w:type="dxa"/>
            <w:gridSpan w:val="3"/>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2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9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54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6"/>
              </w:rPr>
            </w:pPr>
          </w:p>
        </w:tc>
        <w:tc>
          <w:tcPr>
            <w:tcW w:w="1136"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2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0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54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136" w:type="dxa"/>
            <w:tcBorders>
              <w:top w:val="nil"/>
              <w:left w:val="nil"/>
              <w:bottom w:val="single" w:color="000000" w:sz="4" w:space="0"/>
              <w:right w:val="single" w:color="000000" w:sz="8" w:space="0"/>
            </w:tcBorders>
            <w:shd w:val="clear" w:color="auto" w:fill="auto"/>
            <w:noWrap w:val="0"/>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CellMar>
            <w:top w:w="0" w:type="dxa"/>
            <w:left w:w="108" w:type="dxa"/>
            <w:bottom w:w="0" w:type="dxa"/>
            <w:right w:w="108" w:type="dxa"/>
          </w:tblCellMar>
        </w:tblPrEx>
        <w:trPr>
          <w:gridAfter w:val="2"/>
          <w:wAfter w:w="628" w:type="dxa"/>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7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16"/>
                <w:szCs w:val="16"/>
              </w:rPr>
            </w:pP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20644.83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173.51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20471.32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nil"/>
              <w:left w:val="single" w:color="000000" w:sz="8" w:space="0"/>
              <w:bottom w:val="single" w:color="000000" w:sz="4" w:space="0"/>
              <w:right w:val="single" w:color="000000"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政府办公厅（室）及相关机构事务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2010301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教育支出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成人教育</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2050499</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其他成人教育支出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920.92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kern w:val="0"/>
                <w:sz w:val="16"/>
                <w:szCs w:val="16"/>
              </w:rPr>
            </w:pPr>
            <w:r>
              <w:rPr>
                <w:rFonts w:hint="eastAsia" w:ascii="宋体" w:hAnsi="宋体" w:cs="Arial"/>
                <w:kern w:val="0"/>
                <w:sz w:val="16"/>
                <w:szCs w:val="16"/>
              </w:rPr>
              <w:t>912.27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医疗卫生与计划生育管理事务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公立医院</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综合医院</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基层医疗卫生机构</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乡镇卫生院</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公共卫生</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疾病预防控制机构</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医疗保障</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行政单位医疗</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城乡社区公共设施</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2120399</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其他城乡社区公共设施支出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1"/>
                <w:szCs w:val="11"/>
              </w:rPr>
            </w:pPr>
            <w:r>
              <w:rPr>
                <w:rFonts w:hint="eastAsia" w:ascii="宋体" w:hAnsi="宋体" w:cs="Arial"/>
                <w:color w:val="000000"/>
                <w:kern w:val="0"/>
                <w:sz w:val="11"/>
                <w:szCs w:val="11"/>
              </w:rPr>
              <w:t>新增建设用地土地有偿使用费及对应专项债务收入安排的支出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基本农田建设和保护支出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34.17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国土资源气象等事务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159.04</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23.78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153.32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18.07</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49.1</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38.13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10.98</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2200105</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土地资源调查</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2200106</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土地资源利用与保护</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2200109</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国土资源调查</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2200111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地质灾害防治</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测绘事务</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2200304</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基础测绘</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住房保障支出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住房改革支出</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2210201</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住房公积金</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2"/>
          <w:wAfter w:w="628" w:type="dxa"/>
          <w:trHeight w:val="308" w:hRule="atLeast"/>
        </w:trPr>
        <w:tc>
          <w:tcPr>
            <w:tcW w:w="1128" w:type="dxa"/>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2210203</w:t>
            </w:r>
          </w:p>
        </w:tc>
        <w:tc>
          <w:tcPr>
            <w:tcW w:w="3366" w:type="dxa"/>
            <w:gridSpan w:val="3"/>
            <w:tcBorders>
              <w:top w:val="nil"/>
              <w:left w:val="nil"/>
              <w:bottom w:val="single" w:color="000000" w:sz="4" w:space="0"/>
              <w:right w:val="single" w:color="000000" w:sz="4" w:space="0"/>
            </w:tcBorders>
            <w:shd w:val="clear" w:color="auto" w:fill="auto"/>
            <w:noWrap/>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购房补贴</w:t>
            </w:r>
          </w:p>
        </w:tc>
        <w:tc>
          <w:tcPr>
            <w:tcW w:w="92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54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cs="Arial"/>
                <w:color w:val="000000"/>
                <w:kern w:val="0"/>
                <w:sz w:val="16"/>
                <w:szCs w:val="16"/>
              </w:rPr>
            </w:pPr>
          </w:p>
        </w:tc>
        <w:tc>
          <w:tcPr>
            <w:tcW w:w="1136"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cs="Arial"/>
                <w:color w:val="000000"/>
                <w:kern w:val="0"/>
                <w:sz w:val="16"/>
                <w:szCs w:val="16"/>
              </w:rPr>
            </w:pPr>
          </w:p>
        </w:tc>
      </w:tr>
    </w:tbl>
    <w:p>
      <w:pPr>
        <w:rPr>
          <w:rFonts w:hint="eastAsia" w:ascii="仿宋_GB2312" w:eastAsia="仿宋_GB2312"/>
          <w:b/>
          <w:sz w:val="32"/>
          <w:szCs w:val="32"/>
        </w:rPr>
      </w:pPr>
    </w:p>
    <w:p>
      <w:pPr>
        <w:rPr>
          <w:rFonts w:hint="eastAsia" w:ascii="仿宋_GB2312" w:eastAsia="仿宋_GB2312"/>
          <w:b/>
          <w:sz w:val="32"/>
          <w:szCs w:val="32"/>
        </w:rPr>
      </w:pPr>
    </w:p>
    <w:tbl>
      <w:tblPr>
        <w:tblStyle w:val="5"/>
        <w:tblW w:w="9092" w:type="dxa"/>
        <w:jc w:val="center"/>
        <w:tblLayout w:type="fixed"/>
        <w:tblCellMar>
          <w:top w:w="0" w:type="dxa"/>
          <w:left w:w="108" w:type="dxa"/>
          <w:bottom w:w="0" w:type="dxa"/>
          <w:right w:w="108" w:type="dxa"/>
        </w:tblCellMar>
      </w:tblPr>
      <w:tblGrid>
        <w:gridCol w:w="2291"/>
        <w:gridCol w:w="399"/>
        <w:gridCol w:w="877"/>
        <w:gridCol w:w="2564"/>
        <w:gridCol w:w="376"/>
        <w:gridCol w:w="856"/>
        <w:gridCol w:w="856"/>
        <w:gridCol w:w="873"/>
      </w:tblGrid>
      <w:tr>
        <w:tblPrEx>
          <w:tblCellMar>
            <w:top w:w="0" w:type="dxa"/>
            <w:left w:w="108" w:type="dxa"/>
            <w:bottom w:w="0" w:type="dxa"/>
            <w:right w:w="108" w:type="dxa"/>
          </w:tblCellMar>
        </w:tblPrEx>
        <w:trPr>
          <w:trHeight w:val="255" w:hRule="atLeast"/>
          <w:jc w:val="center"/>
        </w:trPr>
        <w:tc>
          <w:tcPr>
            <w:tcW w:w="9092" w:type="dxa"/>
            <w:gridSpan w:val="8"/>
            <w:tcBorders>
              <w:top w:val="nil"/>
              <w:left w:val="nil"/>
              <w:bottom w:val="nil"/>
              <w:right w:val="nil"/>
            </w:tcBorders>
            <w:shd w:val="clear" w:color="auto" w:fill="auto"/>
            <w:noWrap/>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56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1729"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部门：城东区国土资源局</w:t>
            </w:r>
          </w:p>
        </w:tc>
        <w:tc>
          <w:tcPr>
            <w:tcW w:w="399"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256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6"/>
                <w:szCs w:val="16"/>
              </w:rPr>
            </w:pPr>
          </w:p>
        </w:tc>
        <w:tc>
          <w:tcPr>
            <w:tcW w:w="856"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16"/>
                <w:szCs w:val="16"/>
              </w:rPr>
            </w:pPr>
          </w:p>
        </w:tc>
        <w:tc>
          <w:tcPr>
            <w:tcW w:w="1729"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xml:space="preserve"> 单位：万元</w:t>
            </w:r>
          </w:p>
        </w:tc>
      </w:tr>
      <w:tr>
        <w:tblPrEx>
          <w:tblCellMar>
            <w:top w:w="0" w:type="dxa"/>
            <w:left w:w="108" w:type="dxa"/>
            <w:bottom w:w="0" w:type="dxa"/>
            <w:right w:w="108" w:type="dxa"/>
          </w:tblCellMar>
        </w:tblPrEx>
        <w:trPr>
          <w:trHeight w:val="308" w:hRule="atLeast"/>
          <w:jc w:val="center"/>
        </w:trPr>
        <w:tc>
          <w:tcPr>
            <w:tcW w:w="3567"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5525" w:type="dxa"/>
            <w:gridSpan w:val="5"/>
            <w:tcBorders>
              <w:top w:val="single" w:color="000000" w:sz="8" w:space="0"/>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399"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877"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564"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585"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877"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2564"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8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56" w:type="dxa"/>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873" w:type="dxa"/>
            <w:tcBorders>
              <w:top w:val="nil"/>
              <w:left w:val="nil"/>
              <w:bottom w:val="single" w:color="000000" w:sz="4" w:space="0"/>
              <w:right w:val="single" w:color="000000"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20605.19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7.5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7.5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920.92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920.92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19534.17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19500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159.04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159.04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9.16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9.16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20639.36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20644.83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20610.66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9.36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9.36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877"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56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6"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877"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20648.72　</w:t>
            </w:r>
          </w:p>
        </w:tc>
        <w:tc>
          <w:tcPr>
            <w:tcW w:w="2564" w:type="dxa"/>
            <w:tcBorders>
              <w:top w:val="nil"/>
              <w:left w:val="nil"/>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856"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20648.72　</w:t>
            </w:r>
          </w:p>
        </w:tc>
        <w:tc>
          <w:tcPr>
            <w:tcW w:w="856"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20614.55　</w:t>
            </w:r>
          </w:p>
        </w:tc>
        <w:tc>
          <w:tcPr>
            <w:tcW w:w="873" w:type="dxa"/>
            <w:tcBorders>
              <w:top w:val="nil"/>
              <w:left w:val="nil"/>
              <w:bottom w:val="single" w:color="000000" w:sz="8" w:space="0"/>
              <w:right w:val="single" w:color="000000" w:sz="4" w:space="0"/>
            </w:tcBorders>
            <w:shd w:val="clear" w:color="auto" w:fill="auto"/>
            <w:noWrap/>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p>
    <w:tbl>
      <w:tblPr>
        <w:tblStyle w:val="5"/>
        <w:tblW w:w="9201" w:type="dxa"/>
        <w:tblInd w:w="93" w:type="dxa"/>
        <w:tblLayout w:type="fixed"/>
        <w:tblCellMar>
          <w:top w:w="0" w:type="dxa"/>
          <w:left w:w="108" w:type="dxa"/>
          <w:bottom w:w="0" w:type="dxa"/>
          <w:right w:w="108" w:type="dxa"/>
        </w:tblCellMar>
      </w:tblPr>
      <w:tblGrid>
        <w:gridCol w:w="555"/>
        <w:gridCol w:w="540"/>
        <w:gridCol w:w="540"/>
        <w:gridCol w:w="445"/>
        <w:gridCol w:w="15"/>
        <w:gridCol w:w="236"/>
        <w:gridCol w:w="564"/>
        <w:gridCol w:w="183"/>
        <w:gridCol w:w="46"/>
        <w:gridCol w:w="330"/>
        <w:gridCol w:w="389"/>
        <w:gridCol w:w="552"/>
        <w:gridCol w:w="300"/>
        <w:gridCol w:w="320"/>
        <w:gridCol w:w="46"/>
        <w:gridCol w:w="195"/>
        <w:gridCol w:w="382"/>
        <w:gridCol w:w="191"/>
        <w:gridCol w:w="430"/>
        <w:gridCol w:w="32"/>
        <w:gridCol w:w="14"/>
        <w:gridCol w:w="190"/>
        <w:gridCol w:w="227"/>
        <w:gridCol w:w="313"/>
        <w:gridCol w:w="236"/>
        <w:gridCol w:w="391"/>
        <w:gridCol w:w="21"/>
        <w:gridCol w:w="25"/>
        <w:gridCol w:w="858"/>
        <w:gridCol w:w="589"/>
        <w:gridCol w:w="46"/>
      </w:tblGrid>
      <w:tr>
        <w:tblPrEx>
          <w:tblCellMar>
            <w:top w:w="0" w:type="dxa"/>
            <w:left w:w="108" w:type="dxa"/>
            <w:bottom w:w="0" w:type="dxa"/>
            <w:right w:w="108" w:type="dxa"/>
          </w:tblCellMar>
        </w:tblPrEx>
        <w:trPr>
          <w:gridAfter w:val="1"/>
          <w:wAfter w:w="46" w:type="dxa"/>
          <w:trHeight w:val="300" w:hRule="atLeast"/>
        </w:trPr>
        <w:tc>
          <w:tcPr>
            <w:tcW w:w="9155" w:type="dxa"/>
            <w:gridSpan w:val="30"/>
            <w:tcBorders>
              <w:top w:val="nil"/>
              <w:left w:val="nil"/>
              <w:bottom w:val="nil"/>
              <w:right w:val="nil"/>
            </w:tcBorders>
            <w:shd w:val="clear" w:color="auto" w:fill="auto"/>
            <w:noWrap w:val="0"/>
            <w:vAlign w:val="bottom"/>
          </w:tcPr>
          <w:p>
            <w:pPr>
              <w:widowControl/>
              <w:jc w:val="center"/>
              <w:rPr>
                <w:rFonts w:hint="eastAsia"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CellMar>
            <w:top w:w="0" w:type="dxa"/>
            <w:left w:w="108" w:type="dxa"/>
            <w:bottom w:w="0" w:type="dxa"/>
            <w:right w:w="108" w:type="dxa"/>
          </w:tblCellMar>
        </w:tblPrEx>
        <w:trPr>
          <w:trHeight w:val="240" w:hRule="atLeast"/>
        </w:trPr>
        <w:tc>
          <w:tcPr>
            <w:tcW w:w="2095" w:type="dxa"/>
            <w:gridSpan w:val="5"/>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236" w:type="dxa"/>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793" w:type="dxa"/>
            <w:gridSpan w:val="3"/>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937" w:type="dxa"/>
            <w:gridSpan w:val="6"/>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244" w:type="dxa"/>
            <w:gridSpan w:val="6"/>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03" w:type="dxa"/>
            <w:gridSpan w:val="7"/>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93" w:type="dxa"/>
            <w:gridSpan w:val="3"/>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CellMar>
            <w:top w:w="0" w:type="dxa"/>
            <w:left w:w="108" w:type="dxa"/>
            <w:bottom w:w="0" w:type="dxa"/>
            <w:right w:w="108" w:type="dxa"/>
          </w:tblCellMar>
        </w:tblPrEx>
        <w:trPr>
          <w:gridAfter w:val="1"/>
          <w:wAfter w:w="46" w:type="dxa"/>
          <w:trHeight w:val="255" w:hRule="atLeast"/>
        </w:trPr>
        <w:tc>
          <w:tcPr>
            <w:tcW w:w="5015" w:type="dxa"/>
            <w:gridSpan w:val="14"/>
            <w:tcBorders>
              <w:top w:val="nil"/>
              <w:left w:val="nil"/>
              <w:bottom w:val="nil"/>
              <w:right w:val="nil"/>
            </w:tcBorders>
            <w:shd w:val="clear" w:color="auto" w:fill="auto"/>
            <w:noWrap w:val="0"/>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1244" w:type="dxa"/>
            <w:gridSpan w:val="5"/>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03" w:type="dxa"/>
            <w:gridSpan w:val="7"/>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p>
        </w:tc>
        <w:tc>
          <w:tcPr>
            <w:tcW w:w="1493" w:type="dxa"/>
            <w:gridSpan w:val="4"/>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1"/>
          <w:wAfter w:w="46" w:type="dxa"/>
          <w:trHeight w:val="255" w:hRule="atLeast"/>
        </w:trPr>
        <w:tc>
          <w:tcPr>
            <w:tcW w:w="5015" w:type="dxa"/>
            <w:gridSpan w:val="1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244"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403"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1493"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CellMar>
            <w:top w:w="0" w:type="dxa"/>
            <w:left w:w="108" w:type="dxa"/>
            <w:bottom w:w="0" w:type="dxa"/>
            <w:right w:w="108" w:type="dxa"/>
          </w:tblCellMar>
        </w:tblPrEx>
        <w:trPr>
          <w:gridAfter w:val="1"/>
          <w:wAfter w:w="46" w:type="dxa"/>
          <w:trHeight w:val="61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244"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Arial" w:eastAsia="仿宋_GB2312" w:cs="Arial"/>
                <w:b/>
                <w:bCs/>
                <w:color w:val="000000"/>
                <w:kern w:val="0"/>
                <w:sz w:val="16"/>
                <w:szCs w:val="16"/>
              </w:rPr>
            </w:pPr>
          </w:p>
        </w:tc>
        <w:tc>
          <w:tcPr>
            <w:tcW w:w="140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Arial" w:eastAsia="仿宋_GB2312" w:cs="Arial"/>
                <w:b/>
                <w:bCs/>
                <w:color w:val="000000"/>
                <w:kern w:val="0"/>
                <w:sz w:val="16"/>
                <w:szCs w:val="16"/>
              </w:rPr>
            </w:pPr>
          </w:p>
        </w:tc>
        <w:tc>
          <w:tcPr>
            <w:tcW w:w="149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Arial" w:eastAsia="仿宋_GB2312" w:cs="Arial"/>
                <w:b/>
                <w:bCs/>
                <w:color w:val="000000"/>
                <w:kern w:val="0"/>
                <w:sz w:val="16"/>
                <w:szCs w:val="16"/>
              </w:rPr>
            </w:pPr>
          </w:p>
        </w:tc>
      </w:tr>
      <w:tr>
        <w:tblPrEx>
          <w:tblCellMar>
            <w:top w:w="0" w:type="dxa"/>
            <w:left w:w="108" w:type="dxa"/>
            <w:bottom w:w="0" w:type="dxa"/>
            <w:right w:w="108" w:type="dxa"/>
          </w:tblCellMar>
        </w:tblPrEx>
        <w:trPr>
          <w:gridAfter w:val="1"/>
          <w:wAfter w:w="46" w:type="dxa"/>
          <w:trHeight w:val="255" w:hRule="atLeast"/>
        </w:trPr>
        <w:tc>
          <w:tcPr>
            <w:tcW w:w="5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5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5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3380" w:type="dxa"/>
            <w:gridSpan w:val="11"/>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244" w:type="dxa"/>
            <w:gridSpan w:val="5"/>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403" w:type="dxa"/>
            <w:gridSpan w:val="7"/>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493" w:type="dxa"/>
            <w:gridSpan w:val="4"/>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CellMar>
            <w:top w:w="0" w:type="dxa"/>
            <w:left w:w="108" w:type="dxa"/>
            <w:bottom w:w="0" w:type="dxa"/>
            <w:right w:w="108" w:type="dxa"/>
          </w:tblCellMar>
        </w:tblPrEx>
        <w:trPr>
          <w:gridAfter w:val="1"/>
          <w:wAfter w:w="46" w:type="dxa"/>
          <w:trHeight w:val="255" w:hRule="atLeast"/>
        </w:trPr>
        <w:tc>
          <w:tcPr>
            <w:tcW w:w="5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p>
        </w:tc>
        <w:tc>
          <w:tcPr>
            <w:tcW w:w="3380" w:type="dxa"/>
            <w:gridSpan w:val="11"/>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20610.66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173.51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20437.15　</w:t>
            </w:r>
          </w:p>
        </w:tc>
      </w:tr>
      <w:tr>
        <w:tblPrEx>
          <w:tblCellMar>
            <w:top w:w="0" w:type="dxa"/>
            <w:left w:w="108" w:type="dxa"/>
            <w:bottom w:w="0" w:type="dxa"/>
            <w:right w:w="108" w:type="dxa"/>
          </w:tblCellMar>
        </w:tblPrEx>
        <w:trPr>
          <w:gridAfter w:val="1"/>
          <w:wAfter w:w="46" w:type="dxa"/>
          <w:trHeight w:val="300" w:hRule="atLeast"/>
        </w:trPr>
        <w:tc>
          <w:tcPr>
            <w:tcW w:w="1635" w:type="dxa"/>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20103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政府办公厅（室）及相关机构事务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2010301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Arial"/>
                <w:color w:val="000000"/>
                <w:kern w:val="0"/>
                <w:sz w:val="16"/>
                <w:szCs w:val="16"/>
              </w:rPr>
            </w:pPr>
            <w:r>
              <w:rPr>
                <w:rFonts w:hint="eastAsia" w:ascii="宋体" w:hAnsi="宋体" w:cs="Arial"/>
                <w:color w:val="000000"/>
                <w:kern w:val="0"/>
                <w:sz w:val="16"/>
                <w:szCs w:val="16"/>
              </w:rPr>
              <w:t>205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教育支出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成人教育</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　</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2050499</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其他成人教育支出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Arial"/>
                <w:kern w:val="0"/>
                <w:sz w:val="16"/>
                <w:szCs w:val="16"/>
              </w:rPr>
            </w:pPr>
            <w:r>
              <w:rPr>
                <w:rFonts w:hint="eastAsia" w:ascii="宋体" w:hAnsi="宋体" w:cs="Arial"/>
                <w:kern w:val="0"/>
                <w:sz w:val="16"/>
                <w:szCs w:val="16"/>
              </w:rPr>
              <w:t>1.1　</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2080505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12.95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920.92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8.66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kern w:val="0"/>
                <w:sz w:val="16"/>
                <w:szCs w:val="16"/>
              </w:rPr>
            </w:pPr>
            <w:r>
              <w:rPr>
                <w:rFonts w:hint="eastAsia" w:ascii="宋体" w:hAnsi="宋体" w:cs="Arial"/>
                <w:kern w:val="0"/>
                <w:sz w:val="16"/>
                <w:szCs w:val="16"/>
              </w:rPr>
              <w:t>912.27</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医疗卫生与计划生育管理事务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2100102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252.88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公立医院</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2100201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综合医院</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412.26</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基层医疗卫生机构</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2100302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乡镇卫生院</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245.08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公共卫生</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2100401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疾病预防控制机构</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2.04</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医疗保障</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2100501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行政单位医疗</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8.66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城乡社区公共设施</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2120399</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其他城乡社区公共设施支出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19500</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国土资源气象等事务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159.04</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23.78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153.32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135.25</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18.07</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行政运行</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97.13</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49.1</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38.13</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10.98</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2200105</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土地资源调查</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1.19</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2200106</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土地资源利用与保护</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2.9</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2200109</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国土资源调查</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2200111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地质灾害防治</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测绘事务</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2200304</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基础测绘</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5.72</w:t>
            </w: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住房保障支出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住房改革支出</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9.16</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2210201</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住房公积金</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285" w:hRule="atLeast"/>
        </w:trPr>
        <w:tc>
          <w:tcPr>
            <w:tcW w:w="163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2210203</w:t>
            </w:r>
          </w:p>
        </w:tc>
        <w:tc>
          <w:tcPr>
            <w:tcW w:w="3380" w:type="dxa"/>
            <w:gridSpan w:val="11"/>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购房补贴</w:t>
            </w:r>
          </w:p>
        </w:tc>
        <w:tc>
          <w:tcPr>
            <w:tcW w:w="1244" w:type="dxa"/>
            <w:gridSpan w:val="5"/>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1403" w:type="dxa"/>
            <w:gridSpan w:val="7"/>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0.93</w:t>
            </w:r>
          </w:p>
        </w:tc>
        <w:tc>
          <w:tcPr>
            <w:tcW w:w="1493" w:type="dxa"/>
            <w:gridSpan w:val="4"/>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gridAfter w:val="1"/>
          <w:wAfter w:w="46" w:type="dxa"/>
          <w:trHeight w:val="300" w:hRule="atLeast"/>
        </w:trPr>
        <w:tc>
          <w:tcPr>
            <w:tcW w:w="9155" w:type="dxa"/>
            <w:gridSpan w:val="30"/>
            <w:tcBorders>
              <w:top w:val="nil"/>
              <w:left w:val="nil"/>
              <w:bottom w:val="nil"/>
              <w:right w:val="nil"/>
            </w:tcBorders>
            <w:shd w:val="clear" w:color="auto" w:fill="auto"/>
            <w:noWrap w:val="0"/>
            <w:vAlign w:val="bottom"/>
          </w:tcPr>
          <w:p>
            <w:pPr>
              <w:widowControl/>
              <w:jc w:val="center"/>
              <w:rPr>
                <w:rFonts w:hint="eastAsia" w:ascii="仿宋_GB2312" w:hAnsi="Arial" w:eastAsia="仿宋_GB2312" w:cs="Arial"/>
                <w:color w:val="000000"/>
                <w:kern w:val="0"/>
                <w:sz w:val="16"/>
                <w:szCs w:val="16"/>
              </w:rPr>
            </w:pPr>
          </w:p>
          <w:tbl>
            <w:tblPr>
              <w:tblStyle w:val="5"/>
              <w:tblW w:w="8940" w:type="dxa"/>
              <w:tblInd w:w="0" w:type="dxa"/>
              <w:tblLayout w:type="fixed"/>
              <w:tblCellMar>
                <w:top w:w="0" w:type="dxa"/>
                <w:left w:w="108" w:type="dxa"/>
                <w:bottom w:w="0" w:type="dxa"/>
                <w:right w:w="108" w:type="dxa"/>
              </w:tblCellMar>
            </w:tblPr>
            <w:tblGrid>
              <w:gridCol w:w="483"/>
              <w:gridCol w:w="2124"/>
              <w:gridCol w:w="146"/>
              <w:gridCol w:w="593"/>
              <w:gridCol w:w="520"/>
              <w:gridCol w:w="1261"/>
              <w:gridCol w:w="209"/>
              <w:gridCol w:w="605"/>
              <w:gridCol w:w="556"/>
              <w:gridCol w:w="1790"/>
              <w:gridCol w:w="653"/>
            </w:tblGrid>
            <w:tr>
              <w:tblPrEx>
                <w:tblCellMar>
                  <w:top w:w="0" w:type="dxa"/>
                  <w:left w:w="108" w:type="dxa"/>
                  <w:bottom w:w="0" w:type="dxa"/>
                  <w:right w:w="108" w:type="dxa"/>
                </w:tblCellMar>
              </w:tblPrEx>
              <w:trPr>
                <w:trHeight w:val="300" w:hRule="atLeast"/>
              </w:trPr>
              <w:tc>
                <w:tcPr>
                  <w:tcW w:w="8940" w:type="dxa"/>
                  <w:gridSpan w:val="11"/>
                  <w:tcBorders>
                    <w:top w:val="nil"/>
                    <w:left w:val="nil"/>
                    <w:bottom w:val="nil"/>
                    <w:right w:val="nil"/>
                  </w:tcBorders>
                  <w:shd w:val="clear" w:color="auto" w:fill="auto"/>
                  <w:noWrap w:val="0"/>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CellMar>
                  <w:top w:w="0" w:type="dxa"/>
                  <w:left w:w="108" w:type="dxa"/>
                  <w:bottom w:w="0" w:type="dxa"/>
                  <w:right w:w="108" w:type="dxa"/>
                </w:tblCellMar>
              </w:tblPrEx>
              <w:trPr>
                <w:trHeight w:val="255" w:hRule="atLeast"/>
              </w:trPr>
              <w:tc>
                <w:tcPr>
                  <w:tcW w:w="483"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2270"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93"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2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47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443" w:type="dxa"/>
                  <w:gridSpan w:val="2"/>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CellMar>
                  <w:top w:w="0" w:type="dxa"/>
                  <w:left w:w="108" w:type="dxa"/>
                  <w:bottom w:w="0" w:type="dxa"/>
                  <w:right w:w="108" w:type="dxa"/>
                </w:tblCellMar>
              </w:tblPrEx>
              <w:trPr>
                <w:trHeight w:val="240" w:hRule="atLeast"/>
              </w:trPr>
              <w:tc>
                <w:tcPr>
                  <w:tcW w:w="2753"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593"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2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47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443" w:type="dxa"/>
                  <w:gridSpan w:val="2"/>
                  <w:tcBorders>
                    <w:top w:val="nil"/>
                    <w:left w:val="nil"/>
                    <w:bottom w:val="single" w:color="auto" w:sz="4" w:space="0"/>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trHeight w:val="255" w:hRule="atLeast"/>
              </w:trPr>
              <w:tc>
                <w:tcPr>
                  <w:tcW w:w="3346" w:type="dxa"/>
                  <w:gridSpan w:val="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5594" w:type="dxa"/>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CellMar>
                  <w:top w:w="0" w:type="dxa"/>
                  <w:left w:w="108" w:type="dxa"/>
                  <w:bottom w:w="0" w:type="dxa"/>
                  <w:right w:w="108" w:type="dxa"/>
                </w:tblCellMar>
              </w:tblPrEx>
              <w:trPr>
                <w:trHeight w:val="990" w:hRule="atLeast"/>
              </w:trPr>
              <w:tc>
                <w:tcPr>
                  <w:tcW w:w="48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124"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739"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c>
                <w:tcPr>
                  <w:tcW w:w="52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1261"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81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179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653"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工资福利支出</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110.73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302</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商品和服务支出</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33.53</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310</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其他资本性支出</w:t>
                  </w:r>
                </w:p>
              </w:tc>
              <w:tc>
                <w:tcPr>
                  <w:tcW w:w="653"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3.47</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31001</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房屋建筑物购建</w:t>
                  </w:r>
                </w:p>
              </w:tc>
              <w:tc>
                <w:tcPr>
                  <w:tcW w:w="653"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45.46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653"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13.3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其他社会保障缴费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8.66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0.05</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31004</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基础设施建设</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31005</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大型修缮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31006</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30108</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机关事业单位基本养老保险缴费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12.95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物资储备</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职业年金缴费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31008</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土地补偿</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0.07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31009</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安置补助</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对个人和家庭的补助</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29.25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ind w:firstLine="80" w:firstLineChars="50"/>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1.20</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31010</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地上附着物和青苗补偿</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31011</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拆迁补偿</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31012</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31013</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31014</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产权参股</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0.4</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30306</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救济费</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0.28</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304</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对企事业单位的补贴</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12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739"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1261"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814"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1.15</w:t>
                  </w:r>
                </w:p>
              </w:tc>
              <w:tc>
                <w:tcPr>
                  <w:tcW w:w="556" w:type="dxa"/>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30401</w:t>
                  </w:r>
                </w:p>
              </w:tc>
              <w:tc>
                <w:tcPr>
                  <w:tcW w:w="1790" w:type="dxa"/>
                  <w:tcBorders>
                    <w:top w:val="single" w:color="auto" w:sz="4" w:space="0"/>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企业政策性补贴</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30308</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助学金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30402</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事业单位补贴</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15.4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30403</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财政贴息</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30310</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生产补贴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23.3</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30404</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其他对企事业单位的补贴</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8.22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307</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债务利息支出</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30701</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国内债务付息</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0.93</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30707</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国外债务付息</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30314</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采暖补贴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3.9</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3.28</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399</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其他支出</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30315</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物业服务补贴</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39906</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赠与</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739"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0.79</w:t>
                  </w:r>
                </w:p>
              </w:tc>
              <w:tc>
                <w:tcPr>
                  <w:tcW w:w="52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30240</w:t>
                  </w:r>
                </w:p>
              </w:tc>
              <w:tc>
                <w:tcPr>
                  <w:tcW w:w="126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税金及附加费用</w:t>
                  </w:r>
                </w:p>
              </w:tc>
              <w:tc>
                <w:tcPr>
                  <w:tcW w:w="814"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56"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90" w:type="dxa"/>
                  <w:tcBorders>
                    <w:top w:val="nil"/>
                    <w:left w:val="nil"/>
                    <w:bottom w:val="single" w:color="auto" w:sz="4" w:space="0"/>
                    <w:right w:val="nil"/>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40" w:hRule="atLeast"/>
              </w:trPr>
              <w:tc>
                <w:tcPr>
                  <w:tcW w:w="4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12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520" w:type="dxa"/>
                  <w:tcBorders>
                    <w:top w:val="nil"/>
                    <w:left w:val="nil"/>
                    <w:bottom w:val="nil"/>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1261" w:type="dxa"/>
                  <w:tcBorders>
                    <w:top w:val="nil"/>
                    <w:left w:val="nil"/>
                    <w:bottom w:val="nil"/>
                    <w:right w:val="single" w:color="auto" w:sz="4" w:space="0"/>
                  </w:tcBorders>
                  <w:shd w:val="clear" w:color="auto" w:fill="auto"/>
                  <w:noWrap/>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814" w:type="dxa"/>
                  <w:gridSpan w:val="2"/>
                  <w:tcBorders>
                    <w:top w:val="nil"/>
                    <w:left w:val="nil"/>
                    <w:bottom w:val="nil"/>
                    <w:right w:val="single" w:color="auto" w:sz="4" w:space="0"/>
                  </w:tcBorders>
                  <w:shd w:val="clear" w:color="auto" w:fill="auto"/>
                  <w:noWrap w:val="0"/>
                  <w:vAlign w:val="bottom"/>
                </w:tcPr>
                <w:p>
                  <w:pPr>
                    <w:widowControl/>
                    <w:ind w:firstLine="80" w:firstLineChars="50"/>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0.41</w:t>
                  </w:r>
                </w:p>
              </w:tc>
              <w:tc>
                <w:tcPr>
                  <w:tcW w:w="556" w:type="dxa"/>
                  <w:tcBorders>
                    <w:top w:val="nil"/>
                    <w:left w:val="nil"/>
                    <w:bottom w:val="nil"/>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5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5" w:hRule="atLeast"/>
              </w:trPr>
              <w:tc>
                <w:tcPr>
                  <w:tcW w:w="2607"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人员经费合计</w:t>
                  </w:r>
                </w:p>
              </w:tc>
              <w:tc>
                <w:tcPr>
                  <w:tcW w:w="7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Arial" w:hAnsi="Arial" w:cs="Arial"/>
                      <w:color w:val="000000"/>
                      <w:kern w:val="0"/>
                      <w:sz w:val="20"/>
                      <w:szCs w:val="20"/>
                    </w:rPr>
                  </w:pPr>
                  <w:r>
                    <w:rPr>
                      <w:rFonts w:ascii="Arial" w:hAnsi="Arial" w:cs="Arial"/>
                      <w:color w:val="000000"/>
                      <w:kern w:val="0"/>
                      <w:sz w:val="20"/>
                      <w:szCs w:val="20"/>
                    </w:rPr>
                    <w:t>　</w:t>
                  </w:r>
                  <w:r>
                    <w:rPr>
                      <w:rFonts w:hint="eastAsia" w:ascii="仿宋_GB2312" w:hAnsi="Arial" w:eastAsia="仿宋_GB2312" w:cs="Arial"/>
                      <w:color w:val="000000"/>
                      <w:kern w:val="0"/>
                      <w:sz w:val="16"/>
                      <w:szCs w:val="16"/>
                    </w:rPr>
                    <w:t>139.98</w:t>
                  </w:r>
                </w:p>
              </w:tc>
              <w:tc>
                <w:tcPr>
                  <w:tcW w:w="4941"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公用经费合计</w:t>
                  </w:r>
                </w:p>
              </w:tc>
              <w:tc>
                <w:tcPr>
                  <w:tcW w:w="6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Arial" w:hAnsi="Arial" w:cs="Arial"/>
                      <w:color w:val="000000"/>
                      <w:kern w:val="0"/>
                      <w:sz w:val="20"/>
                      <w:szCs w:val="20"/>
                    </w:rPr>
                  </w:pPr>
                  <w:r>
                    <w:rPr>
                      <w:rFonts w:ascii="Arial" w:hAnsi="Arial" w:cs="Arial"/>
                      <w:color w:val="000000"/>
                      <w:kern w:val="0"/>
                      <w:sz w:val="20"/>
                      <w:szCs w:val="20"/>
                    </w:rPr>
                    <w:t>　</w:t>
                  </w:r>
                  <w:r>
                    <w:rPr>
                      <w:rFonts w:hint="eastAsia" w:ascii="仿宋_GB2312" w:hAnsi="Arial" w:eastAsia="仿宋_GB2312" w:cs="Arial"/>
                      <w:color w:val="000000"/>
                      <w:kern w:val="0"/>
                      <w:sz w:val="16"/>
                      <w:szCs w:val="16"/>
                    </w:rPr>
                    <w:t>33.53</w:t>
                  </w:r>
                </w:p>
              </w:tc>
            </w:tr>
          </w:tbl>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CellMar>
            <w:top w:w="0" w:type="dxa"/>
            <w:left w:w="108" w:type="dxa"/>
            <w:bottom w:w="0" w:type="dxa"/>
            <w:right w:w="108" w:type="dxa"/>
          </w:tblCellMar>
        </w:tblPrEx>
        <w:trPr>
          <w:gridAfter w:val="1"/>
          <w:wAfter w:w="46" w:type="dxa"/>
          <w:trHeight w:val="285" w:hRule="atLeast"/>
        </w:trPr>
        <w:tc>
          <w:tcPr>
            <w:tcW w:w="2080"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98"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76"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89"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5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861"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8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653"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431"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49"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884" w:type="dxa"/>
            <w:gridSpan w:val="5"/>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CellMar>
            <w:top w:w="0" w:type="dxa"/>
            <w:left w:w="108" w:type="dxa"/>
            <w:bottom w:w="0" w:type="dxa"/>
            <w:right w:w="108" w:type="dxa"/>
          </w:tblCellMar>
        </w:tblPrEx>
        <w:trPr>
          <w:gridAfter w:val="1"/>
          <w:wAfter w:w="46" w:type="dxa"/>
          <w:trHeight w:val="255" w:hRule="atLeast"/>
        </w:trPr>
        <w:tc>
          <w:tcPr>
            <w:tcW w:w="3454" w:type="dxa"/>
            <w:gridSpan w:val="10"/>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389"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55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861" w:type="dxa"/>
            <w:gridSpan w:val="4"/>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382"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653"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431" w:type="dxa"/>
            <w:gridSpan w:val="3"/>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2433" w:type="dxa"/>
            <w:gridSpan w:val="7"/>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1"/>
          <w:wAfter w:w="46" w:type="dxa"/>
          <w:trHeight w:val="255" w:hRule="atLeast"/>
        </w:trPr>
        <w:tc>
          <w:tcPr>
            <w:tcW w:w="5256" w:type="dxa"/>
            <w:gridSpan w:val="16"/>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2016年度预算数</w:t>
            </w:r>
          </w:p>
        </w:tc>
        <w:tc>
          <w:tcPr>
            <w:tcW w:w="3899" w:type="dxa"/>
            <w:gridSpan w:val="14"/>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2016年度决算数</w:t>
            </w:r>
          </w:p>
        </w:tc>
      </w:tr>
      <w:tr>
        <w:tblPrEx>
          <w:tblCellMar>
            <w:top w:w="0" w:type="dxa"/>
            <w:left w:w="108" w:type="dxa"/>
            <w:bottom w:w="0" w:type="dxa"/>
            <w:right w:w="108" w:type="dxa"/>
          </w:tblCellMar>
        </w:tblPrEx>
        <w:trPr>
          <w:gridAfter w:val="1"/>
          <w:wAfter w:w="46" w:type="dxa"/>
          <w:trHeight w:val="480" w:hRule="atLeast"/>
        </w:trPr>
        <w:tc>
          <w:tcPr>
            <w:tcW w:w="2080" w:type="dxa"/>
            <w:gridSpan w:val="4"/>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15" w:type="dxa"/>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1800" w:type="dxa"/>
            <w:gridSpan w:val="6"/>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561"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73"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666"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071" w:type="dxa"/>
            <w:gridSpan w:val="7"/>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589"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CellMar>
            <w:top w:w="0" w:type="dxa"/>
            <w:left w:w="108" w:type="dxa"/>
            <w:bottom w:w="0" w:type="dxa"/>
            <w:right w:w="108" w:type="dxa"/>
          </w:tblCellMar>
        </w:tblPrEx>
        <w:trPr>
          <w:gridAfter w:val="1"/>
          <w:wAfter w:w="46" w:type="dxa"/>
          <w:trHeight w:val="810" w:hRule="atLeast"/>
        </w:trPr>
        <w:tc>
          <w:tcPr>
            <w:tcW w:w="2080" w:type="dxa"/>
            <w:gridSpan w:val="4"/>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815" w:type="dxa"/>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559"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38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52"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561"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573"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666"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540"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8"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58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gridAfter w:val="1"/>
          <w:wAfter w:w="46" w:type="dxa"/>
          <w:trHeight w:val="255" w:hRule="atLeast"/>
        </w:trPr>
        <w:tc>
          <w:tcPr>
            <w:tcW w:w="2080" w:type="dxa"/>
            <w:gridSpan w:val="4"/>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815"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559"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38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52"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561"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73"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66" w:type="dxa"/>
            <w:gridSpan w:val="4"/>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540"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648" w:type="dxa"/>
            <w:gridSpan w:val="3"/>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83" w:type="dxa"/>
            <w:gridSpan w:val="2"/>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58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CellMar>
            <w:top w:w="0" w:type="dxa"/>
            <w:left w:w="108" w:type="dxa"/>
            <w:bottom w:w="0" w:type="dxa"/>
            <w:right w:w="108" w:type="dxa"/>
          </w:tblCellMar>
        </w:tblPrEx>
        <w:trPr>
          <w:gridAfter w:val="1"/>
          <w:wAfter w:w="46" w:type="dxa"/>
          <w:trHeight w:val="255" w:hRule="atLeast"/>
        </w:trPr>
        <w:tc>
          <w:tcPr>
            <w:tcW w:w="2080" w:type="dxa"/>
            <w:gridSpan w:val="4"/>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6.59　</w:t>
            </w:r>
          </w:p>
        </w:tc>
        <w:tc>
          <w:tcPr>
            <w:tcW w:w="815" w:type="dxa"/>
            <w:gridSpan w:val="3"/>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c>
          <w:tcPr>
            <w:tcW w:w="559" w:type="dxa"/>
            <w:gridSpan w:val="3"/>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6.15　</w:t>
            </w:r>
          </w:p>
        </w:tc>
        <w:tc>
          <w:tcPr>
            <w:tcW w:w="389"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c>
          <w:tcPr>
            <w:tcW w:w="852"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6.15　</w:t>
            </w:r>
          </w:p>
        </w:tc>
        <w:tc>
          <w:tcPr>
            <w:tcW w:w="561" w:type="dxa"/>
            <w:gridSpan w:val="3"/>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0.44　</w:t>
            </w:r>
          </w:p>
        </w:tc>
        <w:tc>
          <w:tcPr>
            <w:tcW w:w="573"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4.26　</w:t>
            </w:r>
          </w:p>
        </w:tc>
        <w:tc>
          <w:tcPr>
            <w:tcW w:w="666" w:type="dxa"/>
            <w:gridSpan w:val="4"/>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c>
          <w:tcPr>
            <w:tcW w:w="540"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3.98　</w:t>
            </w:r>
          </w:p>
        </w:tc>
        <w:tc>
          <w:tcPr>
            <w:tcW w:w="648" w:type="dxa"/>
            <w:gridSpan w:val="3"/>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w:t>
            </w:r>
          </w:p>
        </w:tc>
        <w:tc>
          <w:tcPr>
            <w:tcW w:w="883" w:type="dxa"/>
            <w:gridSpan w:val="2"/>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3.98　</w:t>
            </w:r>
          </w:p>
        </w:tc>
        <w:tc>
          <w:tcPr>
            <w:tcW w:w="58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0.28　</w:t>
            </w:r>
          </w:p>
        </w:tc>
      </w:tr>
    </w:tbl>
    <w:p>
      <w:pPr>
        <w:jc w:val="center"/>
        <w:rPr>
          <w:rFonts w:hint="eastAsia" w:ascii="仿宋_GB2312" w:eastAsia="仿宋_GB2312"/>
          <w:b/>
          <w:sz w:val="32"/>
          <w:szCs w:val="32"/>
        </w:rPr>
      </w:pPr>
    </w:p>
    <w:tbl>
      <w:tblPr>
        <w:tblStyle w:val="5"/>
        <w:tblW w:w="9015" w:type="dxa"/>
        <w:tblInd w:w="93" w:type="dxa"/>
        <w:tblLayout w:type="fixed"/>
        <w:tblCellMar>
          <w:top w:w="0" w:type="dxa"/>
          <w:left w:w="108" w:type="dxa"/>
          <w:bottom w:w="0" w:type="dxa"/>
          <w:right w:w="108" w:type="dxa"/>
        </w:tblCellMar>
      </w:tblPr>
      <w:tblGrid>
        <w:gridCol w:w="440"/>
        <w:gridCol w:w="376"/>
        <w:gridCol w:w="84"/>
        <w:gridCol w:w="375"/>
        <w:gridCol w:w="401"/>
        <w:gridCol w:w="1939"/>
        <w:gridCol w:w="621"/>
        <w:gridCol w:w="960"/>
        <w:gridCol w:w="960"/>
        <w:gridCol w:w="960"/>
        <w:gridCol w:w="940"/>
        <w:gridCol w:w="959"/>
      </w:tblGrid>
      <w:tr>
        <w:tblPrEx>
          <w:tblCellMar>
            <w:top w:w="0" w:type="dxa"/>
            <w:left w:w="108" w:type="dxa"/>
            <w:bottom w:w="0" w:type="dxa"/>
            <w:right w:w="108" w:type="dxa"/>
          </w:tblCellMar>
        </w:tblPrEx>
        <w:trPr>
          <w:trHeight w:val="300" w:hRule="atLeast"/>
        </w:trPr>
        <w:tc>
          <w:tcPr>
            <w:tcW w:w="9015" w:type="dxa"/>
            <w:gridSpan w:val="12"/>
            <w:tcBorders>
              <w:top w:val="nil"/>
              <w:left w:val="nil"/>
              <w:bottom w:val="nil"/>
              <w:right w:val="nil"/>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460"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776" w:type="dxa"/>
            <w:gridSpan w:val="2"/>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1939"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621"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59" w:type="dxa"/>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CellMar>
            <w:top w:w="0" w:type="dxa"/>
            <w:left w:w="108" w:type="dxa"/>
            <w:bottom w:w="0" w:type="dxa"/>
            <w:right w:w="108" w:type="dxa"/>
          </w:tblCellMar>
        </w:tblPrEx>
        <w:trPr>
          <w:trHeight w:val="255" w:hRule="atLeast"/>
        </w:trPr>
        <w:tc>
          <w:tcPr>
            <w:tcW w:w="3615" w:type="dxa"/>
            <w:gridSpan w:val="6"/>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部门：城东区国土资源局</w:t>
            </w:r>
          </w:p>
        </w:tc>
        <w:tc>
          <w:tcPr>
            <w:tcW w:w="621"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noWrap w:val="0"/>
            <w:vAlign w:val="bottom"/>
          </w:tcPr>
          <w:p>
            <w:pPr>
              <w:widowControl/>
              <w:jc w:val="left"/>
              <w:rPr>
                <w:rFonts w:ascii="仿宋_GB2312" w:hAnsi="Arial" w:eastAsia="仿宋_GB2312" w:cs="Arial"/>
                <w:color w:val="000000"/>
                <w:kern w:val="0"/>
                <w:sz w:val="16"/>
                <w:szCs w:val="16"/>
              </w:rPr>
            </w:pPr>
          </w:p>
        </w:tc>
        <w:tc>
          <w:tcPr>
            <w:tcW w:w="959" w:type="dxa"/>
            <w:tcBorders>
              <w:top w:val="nil"/>
              <w:left w:val="nil"/>
              <w:bottom w:val="nil"/>
              <w:right w:val="nil"/>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trHeight w:val="255" w:hRule="atLeast"/>
        </w:trPr>
        <w:tc>
          <w:tcPr>
            <w:tcW w:w="3615" w:type="dxa"/>
            <w:gridSpan w:val="6"/>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459"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621"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4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Arial" w:eastAsia="仿宋_GB2312" w:cs="Arial"/>
                <w:color w:val="000000"/>
                <w:kern w:val="0"/>
                <w:sz w:val="16"/>
                <w:szCs w:val="16"/>
              </w:rPr>
            </w:pP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621"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212</w:t>
            </w:r>
          </w:p>
        </w:tc>
        <w:tc>
          <w:tcPr>
            <w:tcW w:w="2340" w:type="dxa"/>
            <w:gridSpan w:val="2"/>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城乡社区支出</w:t>
            </w:r>
          </w:p>
        </w:tc>
        <w:tc>
          <w:tcPr>
            <w:tcW w:w="621"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w:t>
            </w:r>
          </w:p>
        </w:tc>
        <w:tc>
          <w:tcPr>
            <w:tcW w:w="2340"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1"/>
                <w:szCs w:val="11"/>
              </w:rPr>
            </w:pPr>
            <w:r>
              <w:rPr>
                <w:rFonts w:hint="eastAsia" w:ascii="宋体" w:hAnsi="宋体" w:cs="Arial"/>
                <w:color w:val="000000"/>
                <w:kern w:val="0"/>
                <w:sz w:val="11"/>
                <w:szCs w:val="11"/>
              </w:rPr>
              <w:t>新增建设用地土地有偿使用费及对应专项债务收入安排的支出</w:t>
            </w:r>
          </w:p>
        </w:tc>
        <w:tc>
          <w:tcPr>
            <w:tcW w:w="621"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r>
      <w:tr>
        <w:tblPrEx>
          <w:tblCellMar>
            <w:top w:w="0" w:type="dxa"/>
            <w:left w:w="108" w:type="dxa"/>
            <w:bottom w:w="0" w:type="dxa"/>
            <w:right w:w="108" w:type="dxa"/>
          </w:tblCellMar>
        </w:tblPrEx>
        <w:trPr>
          <w:trHeight w:val="255" w:hRule="atLeast"/>
        </w:trPr>
        <w:tc>
          <w:tcPr>
            <w:tcW w:w="1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2121202</w:t>
            </w:r>
          </w:p>
        </w:tc>
        <w:tc>
          <w:tcPr>
            <w:tcW w:w="2340"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Arial"/>
                <w:color w:val="000000"/>
                <w:kern w:val="0"/>
                <w:sz w:val="16"/>
                <w:szCs w:val="16"/>
              </w:rPr>
            </w:pPr>
            <w:r>
              <w:rPr>
                <w:rFonts w:hint="eastAsia" w:ascii="宋体" w:hAnsi="宋体" w:cs="Arial"/>
                <w:color w:val="000000"/>
                <w:kern w:val="0"/>
                <w:sz w:val="16"/>
                <w:szCs w:val="16"/>
              </w:rPr>
              <w:t>基本农田建设和保护支出</w:t>
            </w:r>
          </w:p>
        </w:tc>
        <w:tc>
          <w:tcPr>
            <w:tcW w:w="621"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0</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6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34.17　</w:t>
            </w:r>
          </w:p>
        </w:tc>
        <w:tc>
          <w:tcPr>
            <w:tcW w:w="959" w:type="dxa"/>
            <w:tcBorders>
              <w:top w:val="nil"/>
              <w:left w:val="nil"/>
              <w:bottom w:val="single" w:color="auto" w:sz="4" w:space="0"/>
              <w:right w:val="single" w:color="auto" w:sz="4" w:space="0"/>
            </w:tcBorders>
            <w:shd w:val="clear" w:color="auto" w:fill="auto"/>
            <w:noWrap w:val="0"/>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　</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第三部分城东区国土资源局2016年度部门决算情况说明</w:t>
      </w:r>
    </w:p>
    <w:p>
      <w:pPr>
        <w:rPr>
          <w:rFonts w:hint="eastAsia" w:ascii="仿宋_GB2312" w:eastAsia="仿宋_GB2312"/>
          <w:sz w:val="32"/>
          <w:szCs w:val="32"/>
        </w:rPr>
      </w:pPr>
    </w:p>
    <w:p>
      <w:pPr>
        <w:ind w:firstLine="643" w:firstLineChars="200"/>
        <w:rPr>
          <w:rFonts w:hint="eastAsia" w:ascii="仿宋_GB2312" w:eastAsia="仿宋_GB2312"/>
          <w:b/>
          <w:sz w:val="32"/>
          <w:szCs w:val="32"/>
        </w:rPr>
      </w:pPr>
      <w:r>
        <w:rPr>
          <w:rFonts w:hint="eastAsia" w:ascii="仿宋_GB2312" w:eastAsia="仿宋_GB2312"/>
          <w:b/>
          <w:sz w:val="32"/>
          <w:szCs w:val="32"/>
        </w:rPr>
        <w:t>一、关于城东区国土资源局2016年度部门决算收支总体情况说明</w:t>
      </w:r>
    </w:p>
    <w:p>
      <w:pPr>
        <w:ind w:firstLine="645"/>
        <w:rPr>
          <w:rFonts w:hint="eastAsia" w:ascii="仿宋_GB2312" w:eastAsia="仿宋_GB2312"/>
          <w:sz w:val="32"/>
          <w:szCs w:val="32"/>
        </w:rPr>
      </w:pPr>
      <w:r>
        <w:rPr>
          <w:rFonts w:hint="eastAsia" w:ascii="仿宋_GB2312" w:eastAsia="仿宋_GB2312"/>
          <w:sz w:val="32"/>
          <w:szCs w:val="32"/>
        </w:rPr>
        <w:t>城东区国土资源局2016年度收支总决算20648.72万元，比2015年收支总决算增19597.86万元。主要原因是：</w:t>
      </w:r>
      <w:r>
        <w:rPr>
          <w:rFonts w:hint="eastAsia" w:ascii="仿宋_GB2312" w:hAnsi="宋体" w:eastAsia="仿宋_GB2312"/>
          <w:sz w:val="32"/>
          <w:szCs w:val="32"/>
        </w:rPr>
        <w:t>增加了基本农田建设和保护支出基金、偿还储备征地中心贷款本金及利息等支出</w:t>
      </w:r>
      <w:r>
        <w:rPr>
          <w:rFonts w:hint="eastAsia" w:ascii="仿宋_GB2312" w:hAnsi="仿宋" w:eastAsia="仿宋_GB2312"/>
          <w:sz w:val="32"/>
          <w:szCs w:val="32"/>
        </w:rPr>
        <w:t>。</w:t>
      </w:r>
    </w:p>
    <w:p>
      <w:pPr>
        <w:ind w:firstLine="645"/>
        <w:rPr>
          <w:rFonts w:hint="eastAsia"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关于</w:t>
      </w:r>
      <w:r>
        <w:rPr>
          <w:rFonts w:hint="eastAsia" w:ascii="仿宋_GB2312" w:eastAsia="仿宋_GB2312"/>
          <w:b/>
          <w:sz w:val="32"/>
          <w:szCs w:val="32"/>
        </w:rPr>
        <w:t>城东区国土资源局</w:t>
      </w:r>
      <w:r>
        <w:rPr>
          <w:rFonts w:ascii="仿宋_GB2312" w:eastAsia="仿宋_GB2312"/>
          <w:b/>
          <w:sz w:val="32"/>
          <w:szCs w:val="32"/>
        </w:rPr>
        <w:t>2016年度收入决算情况说明</w:t>
      </w:r>
    </w:p>
    <w:p>
      <w:pPr>
        <w:ind w:firstLine="645"/>
        <w:rPr>
          <w:rFonts w:hint="eastAsia" w:ascii="仿宋_GB2312" w:eastAsia="仿宋_GB2312"/>
          <w:sz w:val="32"/>
          <w:szCs w:val="32"/>
        </w:rPr>
      </w:pPr>
      <w:r>
        <w:rPr>
          <w:rFonts w:ascii="仿宋_GB2312" w:eastAsia="仿宋_GB2312"/>
          <w:sz w:val="32"/>
          <w:szCs w:val="32"/>
        </w:rPr>
        <w:t>本年收入合计</w:t>
      </w:r>
      <w:r>
        <w:rPr>
          <w:rFonts w:hint="eastAsia" w:ascii="仿宋_GB2312" w:eastAsia="仿宋_GB2312"/>
          <w:sz w:val="32"/>
          <w:szCs w:val="32"/>
        </w:rPr>
        <w:t>20639.36</w:t>
      </w:r>
      <w:r>
        <w:rPr>
          <w:rFonts w:ascii="仿宋_GB2312" w:eastAsia="仿宋_GB2312"/>
          <w:sz w:val="32"/>
          <w:szCs w:val="32"/>
        </w:rPr>
        <w:t>万元，其中：财政拨款收入</w:t>
      </w:r>
      <w:r>
        <w:rPr>
          <w:rFonts w:hint="eastAsia" w:ascii="仿宋_GB2312" w:eastAsia="仿宋_GB2312"/>
          <w:sz w:val="32"/>
          <w:szCs w:val="32"/>
        </w:rPr>
        <w:t>20639.36</w:t>
      </w:r>
      <w:r>
        <w:rPr>
          <w:rFonts w:ascii="仿宋_GB2312" w:eastAsia="仿宋_GB2312"/>
          <w:sz w:val="32"/>
          <w:szCs w:val="32"/>
        </w:rPr>
        <w:t>万元，占</w:t>
      </w:r>
      <w:r>
        <w:rPr>
          <w:rFonts w:hint="eastAsia" w:ascii="仿宋_GB2312" w:eastAsia="仿宋_GB2312"/>
          <w:sz w:val="32"/>
          <w:szCs w:val="32"/>
        </w:rPr>
        <w:t>100</w:t>
      </w:r>
      <w:r>
        <w:rPr>
          <w:rFonts w:ascii="仿宋_GB2312" w:eastAsia="仿宋_GB2312"/>
          <w:sz w:val="32"/>
          <w:szCs w:val="32"/>
        </w:rPr>
        <w:t>%；事业收入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%；经营收入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%；附属单位上缴收入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%；其他收入</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三、关于</w:t>
      </w:r>
      <w:r>
        <w:rPr>
          <w:rFonts w:hint="eastAsia" w:ascii="仿宋_GB2312" w:eastAsia="仿宋_GB2312"/>
          <w:b/>
          <w:sz w:val="32"/>
          <w:szCs w:val="32"/>
        </w:rPr>
        <w:t>城东区国土资源局</w:t>
      </w:r>
      <w:r>
        <w:rPr>
          <w:rFonts w:ascii="仿宋_GB2312" w:eastAsia="仿宋_GB2312"/>
          <w:b/>
          <w:sz w:val="32"/>
          <w:szCs w:val="32"/>
        </w:rPr>
        <w:t>2016年度支出决算情况说明</w:t>
      </w:r>
    </w:p>
    <w:p>
      <w:pPr>
        <w:ind w:firstLine="645"/>
        <w:rPr>
          <w:rFonts w:hint="eastAsia" w:ascii="仿宋_GB2312" w:eastAsia="仿宋_GB2312"/>
          <w:sz w:val="32"/>
          <w:szCs w:val="32"/>
        </w:rPr>
      </w:pPr>
      <w:r>
        <w:rPr>
          <w:rFonts w:ascii="仿宋_GB2312" w:eastAsia="仿宋_GB2312"/>
          <w:sz w:val="32"/>
          <w:szCs w:val="32"/>
        </w:rPr>
        <w:t>本年支出合计</w:t>
      </w:r>
      <w:r>
        <w:rPr>
          <w:rFonts w:hint="eastAsia" w:ascii="仿宋_GB2312" w:eastAsia="仿宋_GB2312"/>
          <w:sz w:val="32"/>
          <w:szCs w:val="32"/>
        </w:rPr>
        <w:t>20644.83</w:t>
      </w:r>
      <w:r>
        <w:rPr>
          <w:rFonts w:ascii="仿宋_GB2312" w:eastAsia="仿宋_GB2312"/>
          <w:sz w:val="32"/>
          <w:szCs w:val="32"/>
        </w:rPr>
        <w:t>万元，其中：基本支出</w:t>
      </w:r>
      <w:r>
        <w:rPr>
          <w:rFonts w:hint="eastAsia" w:ascii="仿宋_GB2312" w:eastAsia="仿宋_GB2312"/>
          <w:sz w:val="32"/>
          <w:szCs w:val="32"/>
        </w:rPr>
        <w:t>173.51</w:t>
      </w:r>
      <w:r>
        <w:rPr>
          <w:rFonts w:ascii="仿宋_GB2312" w:eastAsia="仿宋_GB2312"/>
          <w:sz w:val="32"/>
          <w:szCs w:val="32"/>
        </w:rPr>
        <w:t>万元，占</w:t>
      </w:r>
      <w:r>
        <w:rPr>
          <w:rFonts w:hint="eastAsia" w:ascii="仿宋_GB2312" w:eastAsia="仿宋_GB2312"/>
          <w:sz w:val="32"/>
          <w:szCs w:val="32"/>
        </w:rPr>
        <w:t>0.84</w:t>
      </w:r>
      <w:r>
        <w:rPr>
          <w:rFonts w:ascii="仿宋_GB2312" w:eastAsia="仿宋_GB2312"/>
          <w:sz w:val="32"/>
          <w:szCs w:val="32"/>
        </w:rPr>
        <w:t>%；项目支出</w:t>
      </w:r>
      <w:r>
        <w:rPr>
          <w:rFonts w:hint="eastAsia" w:ascii="仿宋_GB2312" w:eastAsia="仿宋_GB2312"/>
          <w:sz w:val="32"/>
          <w:szCs w:val="32"/>
        </w:rPr>
        <w:t>20471.32</w:t>
      </w:r>
      <w:r>
        <w:rPr>
          <w:rFonts w:ascii="仿宋_GB2312" w:eastAsia="仿宋_GB2312"/>
          <w:sz w:val="32"/>
          <w:szCs w:val="32"/>
        </w:rPr>
        <w:t>万元，占</w:t>
      </w:r>
      <w:r>
        <w:rPr>
          <w:rFonts w:hint="eastAsia" w:ascii="仿宋_GB2312" w:eastAsia="仿宋_GB2312"/>
          <w:sz w:val="32"/>
          <w:szCs w:val="32"/>
        </w:rPr>
        <w:t>99.16</w:t>
      </w:r>
      <w:r>
        <w:rPr>
          <w:rFonts w:ascii="仿宋_GB2312" w:eastAsia="仿宋_GB2312"/>
          <w:sz w:val="32"/>
          <w:szCs w:val="32"/>
        </w:rPr>
        <w:t>%；经营支出</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四、关于</w:t>
      </w:r>
      <w:r>
        <w:rPr>
          <w:rFonts w:hint="eastAsia" w:ascii="仿宋_GB2312" w:eastAsia="仿宋_GB2312"/>
          <w:b/>
          <w:sz w:val="32"/>
          <w:szCs w:val="32"/>
        </w:rPr>
        <w:t>城东区国土资源局</w:t>
      </w:r>
      <w:r>
        <w:rPr>
          <w:rFonts w:ascii="仿宋_GB2312" w:eastAsia="仿宋_GB2312"/>
          <w:b/>
          <w:sz w:val="32"/>
          <w:szCs w:val="32"/>
        </w:rPr>
        <w:t>2016年度财政拨款收入支出决算总体情况说明</w:t>
      </w:r>
    </w:p>
    <w:p>
      <w:pPr>
        <w:ind w:firstLine="645"/>
        <w:rPr>
          <w:rFonts w:hint="eastAsia" w:ascii="仿宋_GB2312" w:hAnsi="仿宋"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2016年度财政拨款收支总决算</w:t>
      </w:r>
      <w:r>
        <w:rPr>
          <w:rFonts w:hint="eastAsia" w:ascii="仿宋_GB2312" w:eastAsia="仿宋_GB2312"/>
          <w:sz w:val="32"/>
          <w:szCs w:val="32"/>
        </w:rPr>
        <w:t>20648.72</w:t>
      </w:r>
      <w:r>
        <w:rPr>
          <w:rFonts w:ascii="仿宋_GB2312" w:eastAsia="仿宋_GB2312"/>
          <w:sz w:val="32"/>
          <w:szCs w:val="32"/>
        </w:rPr>
        <w:t>万元。与2015年相比，财政拨款收、支总计各增加</w:t>
      </w:r>
      <w:r>
        <w:rPr>
          <w:rFonts w:hint="eastAsia" w:ascii="仿宋_GB2312" w:eastAsia="仿宋_GB2312"/>
          <w:sz w:val="32"/>
          <w:szCs w:val="32"/>
        </w:rPr>
        <w:t>19607.24</w:t>
      </w:r>
      <w:r>
        <w:rPr>
          <w:rFonts w:ascii="仿宋_GB2312" w:eastAsia="仿宋_GB2312"/>
          <w:sz w:val="32"/>
          <w:szCs w:val="32"/>
        </w:rPr>
        <w:t>万元，增长</w:t>
      </w:r>
      <w:r>
        <w:rPr>
          <w:rFonts w:hint="eastAsia" w:ascii="仿宋_GB2312" w:eastAsia="仿宋_GB2312"/>
          <w:sz w:val="32"/>
          <w:szCs w:val="32"/>
        </w:rPr>
        <w:t>188.26</w:t>
      </w:r>
      <w:r>
        <w:rPr>
          <w:rFonts w:ascii="仿宋_GB2312" w:eastAsia="仿宋_GB2312"/>
          <w:sz w:val="32"/>
          <w:szCs w:val="32"/>
        </w:rPr>
        <w:t>%。主要原因是</w:t>
      </w:r>
      <w:r>
        <w:rPr>
          <w:rFonts w:hint="eastAsia" w:ascii="仿宋_GB2312" w:hAnsi="宋体" w:eastAsia="仿宋_GB2312"/>
          <w:sz w:val="32"/>
          <w:szCs w:val="32"/>
        </w:rPr>
        <w:t>增加了基本农田建设和保护支出基金、偿还储备征地中心贷款本金及利息等支出</w:t>
      </w:r>
      <w:r>
        <w:rPr>
          <w:rFonts w:hint="eastAsia" w:ascii="仿宋_GB2312" w:hAnsi="仿宋"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五、关于</w:t>
      </w:r>
      <w:r>
        <w:rPr>
          <w:rFonts w:hint="eastAsia" w:ascii="仿宋_GB2312" w:eastAsia="仿宋_GB2312"/>
          <w:b/>
          <w:sz w:val="32"/>
          <w:szCs w:val="32"/>
        </w:rPr>
        <w:t>城东区国土资源局</w:t>
      </w:r>
      <w:r>
        <w:rPr>
          <w:rFonts w:ascii="仿宋_GB2312" w:eastAsia="仿宋_GB2312"/>
          <w:b/>
          <w:sz w:val="32"/>
          <w:szCs w:val="32"/>
        </w:rPr>
        <w:t>2016年度一般公共预算财政拨款支出决算情况说明</w:t>
      </w:r>
    </w:p>
    <w:p>
      <w:pPr>
        <w:ind w:firstLine="645"/>
        <w:rPr>
          <w:rFonts w:hint="eastAsia" w:ascii="仿宋_GB2312" w:eastAsia="仿宋_GB2312"/>
          <w:b/>
          <w:sz w:val="32"/>
          <w:szCs w:val="32"/>
        </w:rPr>
      </w:pPr>
      <w:r>
        <w:rPr>
          <w:rFonts w:ascii="仿宋_GB2312" w:eastAsia="仿宋_GB2312"/>
          <w:b/>
          <w:sz w:val="32"/>
          <w:szCs w:val="32"/>
        </w:rPr>
        <w:t>（一）财政拨款支出决算总体情况</w:t>
      </w:r>
    </w:p>
    <w:p>
      <w:pPr>
        <w:ind w:firstLine="645"/>
        <w:rPr>
          <w:rFonts w:hint="eastAsia" w:ascii="仿宋_GB2312" w:hAnsi="仿宋"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2016年度财政拨款支出</w:t>
      </w:r>
      <w:r>
        <w:rPr>
          <w:rFonts w:hint="eastAsia" w:ascii="仿宋_GB2312" w:eastAsia="仿宋_GB2312"/>
          <w:sz w:val="32"/>
          <w:szCs w:val="32"/>
        </w:rPr>
        <w:t>20610.66</w:t>
      </w:r>
      <w:r>
        <w:rPr>
          <w:rFonts w:ascii="仿宋_GB2312" w:eastAsia="仿宋_GB2312"/>
          <w:sz w:val="32"/>
          <w:szCs w:val="32"/>
        </w:rPr>
        <w:t>万元，占本年支出合计</w:t>
      </w:r>
      <w:r>
        <w:rPr>
          <w:rFonts w:hint="eastAsia" w:ascii="仿宋_GB2312" w:eastAsia="仿宋_GB2312"/>
          <w:sz w:val="32"/>
          <w:szCs w:val="32"/>
        </w:rPr>
        <w:t>99.82</w:t>
      </w:r>
      <w:r>
        <w:rPr>
          <w:rFonts w:ascii="仿宋_GB2312" w:eastAsia="仿宋_GB2312"/>
          <w:sz w:val="32"/>
          <w:szCs w:val="32"/>
        </w:rPr>
        <w:t>%。与2015年相比，财政拨款支出增加</w:t>
      </w:r>
      <w:r>
        <w:rPr>
          <w:rFonts w:hint="eastAsia" w:ascii="仿宋_GB2312" w:eastAsia="仿宋_GB2312"/>
          <w:sz w:val="32"/>
          <w:szCs w:val="32"/>
        </w:rPr>
        <w:t>19584.68</w:t>
      </w:r>
      <w:r>
        <w:rPr>
          <w:rFonts w:ascii="仿宋_GB2312" w:eastAsia="仿宋_GB2312"/>
          <w:sz w:val="32"/>
          <w:szCs w:val="32"/>
        </w:rPr>
        <w:t>万元，增长</w:t>
      </w:r>
      <w:r>
        <w:rPr>
          <w:rFonts w:hint="eastAsia" w:ascii="仿宋_GB2312" w:eastAsia="仿宋_GB2312"/>
          <w:sz w:val="32"/>
          <w:szCs w:val="32"/>
        </w:rPr>
        <w:t>1908.88</w:t>
      </w:r>
      <w:r>
        <w:rPr>
          <w:rFonts w:ascii="仿宋_GB2312" w:eastAsia="仿宋_GB2312"/>
          <w:sz w:val="32"/>
          <w:szCs w:val="32"/>
        </w:rPr>
        <w:t>%。主要原因是</w:t>
      </w:r>
      <w:r>
        <w:rPr>
          <w:rFonts w:hint="eastAsia" w:ascii="仿宋_GB2312" w:hAnsi="宋体" w:eastAsia="仿宋_GB2312"/>
          <w:sz w:val="32"/>
          <w:szCs w:val="32"/>
        </w:rPr>
        <w:t>增加了偿还储备征地中心贷款本金及利息等支出</w:t>
      </w:r>
      <w:r>
        <w:rPr>
          <w:rFonts w:hint="eastAsia" w:ascii="仿宋_GB2312" w:hAnsi="仿宋"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（二）财政拨款支出决算结构情况</w:t>
      </w:r>
    </w:p>
    <w:p>
      <w:pPr>
        <w:ind w:firstLine="645"/>
        <w:rPr>
          <w:rFonts w:hint="eastAsia" w:ascii="仿宋_GB2312"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2016年度财政拨款支出主要用于以下方面：</w:t>
      </w:r>
    </w:p>
    <w:p>
      <w:pPr>
        <w:ind w:firstLine="645"/>
        <w:rPr>
          <w:rFonts w:hint="eastAsia" w:ascii="仿宋_GB2312" w:eastAsia="仿宋_GB2312"/>
          <w:sz w:val="32"/>
          <w:szCs w:val="32"/>
        </w:rPr>
      </w:pPr>
      <w:r>
        <w:rPr>
          <w:rFonts w:hint="eastAsia" w:ascii="仿宋_GB2312" w:eastAsia="仿宋_GB2312"/>
          <w:sz w:val="32"/>
          <w:szCs w:val="32"/>
        </w:rPr>
        <w:t>1、一般公共服务（类）支出7.5万元，</w:t>
      </w:r>
      <w:r>
        <w:rPr>
          <w:rFonts w:ascii="仿宋_GB2312" w:eastAsia="仿宋_GB2312"/>
          <w:sz w:val="32"/>
          <w:szCs w:val="32"/>
        </w:rPr>
        <w:t>占</w:t>
      </w:r>
      <w:r>
        <w:rPr>
          <w:rFonts w:hint="eastAsia" w:ascii="仿宋_GB2312" w:eastAsia="仿宋_GB2312"/>
          <w:sz w:val="32"/>
          <w:szCs w:val="32"/>
        </w:rPr>
        <w:t>0.04</w:t>
      </w:r>
      <w:r>
        <w:rPr>
          <w:rFonts w:ascii="仿宋_GB2312" w:eastAsia="仿宋_GB2312"/>
          <w:sz w:val="32"/>
          <w:szCs w:val="32"/>
        </w:rPr>
        <w:t>%</w:t>
      </w:r>
      <w:r>
        <w:rPr>
          <w:rFonts w:hint="eastAsia" w:ascii="仿宋_GB2312" w:eastAsia="仿宋_GB2312"/>
          <w:sz w:val="32"/>
          <w:szCs w:val="32"/>
        </w:rPr>
        <w:t>,主要用于我局及所属单位保障机构正常运转、开展公共管理活动所发生的基本支出和项目支出。</w:t>
      </w:r>
    </w:p>
    <w:p>
      <w:pPr>
        <w:ind w:firstLine="645"/>
        <w:rPr>
          <w:rFonts w:hint="eastAsia" w:ascii="仿宋_GB2312" w:eastAsia="仿宋_GB2312"/>
          <w:sz w:val="32"/>
          <w:szCs w:val="32"/>
        </w:rPr>
      </w:pPr>
      <w:r>
        <w:rPr>
          <w:rFonts w:hint="eastAsia" w:ascii="仿宋_GB2312" w:eastAsia="仿宋_GB2312"/>
          <w:sz w:val="32"/>
          <w:szCs w:val="32"/>
        </w:rPr>
        <w:t>2、外交（类）支出0万元，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,主要包括我局及所属单位参加国际组织、以及对外交流活动等的支出。</w:t>
      </w:r>
    </w:p>
    <w:p>
      <w:pPr>
        <w:ind w:firstLine="645"/>
        <w:rPr>
          <w:rFonts w:hint="eastAsia" w:ascii="仿宋_GB2312" w:eastAsia="仿宋_GB2312"/>
          <w:sz w:val="32"/>
          <w:szCs w:val="32"/>
        </w:rPr>
      </w:pPr>
      <w:r>
        <w:rPr>
          <w:rFonts w:hint="eastAsia" w:ascii="仿宋_GB2312" w:eastAsia="仿宋_GB2312"/>
          <w:sz w:val="32"/>
          <w:szCs w:val="32"/>
        </w:rPr>
        <w:t>3、公共安全（类）支出0万元，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,主要用于我局及所属单位治安管理、刑事侦查和消防等方面的支出。</w:t>
      </w:r>
    </w:p>
    <w:p>
      <w:pPr>
        <w:ind w:firstLine="645"/>
        <w:rPr>
          <w:rFonts w:hint="eastAsia" w:ascii="仿宋_GB2312" w:eastAsia="仿宋_GB2312"/>
          <w:sz w:val="32"/>
          <w:szCs w:val="32"/>
        </w:rPr>
      </w:pPr>
      <w:r>
        <w:rPr>
          <w:rFonts w:hint="eastAsia" w:ascii="仿宋_GB2312" w:eastAsia="仿宋_GB2312"/>
          <w:sz w:val="32"/>
          <w:szCs w:val="32"/>
        </w:rPr>
        <w:t>4、教育（类）支出1.1万元，</w:t>
      </w:r>
      <w:r>
        <w:rPr>
          <w:rFonts w:ascii="仿宋_GB2312" w:eastAsia="仿宋_GB2312"/>
          <w:sz w:val="32"/>
          <w:szCs w:val="32"/>
        </w:rPr>
        <w:t>占</w:t>
      </w:r>
      <w:r>
        <w:rPr>
          <w:rFonts w:hint="eastAsia" w:ascii="仿宋_GB2312" w:eastAsia="仿宋_GB2312"/>
          <w:sz w:val="32"/>
          <w:szCs w:val="32"/>
        </w:rPr>
        <w:t>0.01</w:t>
      </w:r>
      <w:r>
        <w:rPr>
          <w:rFonts w:ascii="仿宋_GB2312" w:eastAsia="仿宋_GB2312"/>
          <w:sz w:val="32"/>
          <w:szCs w:val="32"/>
        </w:rPr>
        <w:t>%</w:t>
      </w:r>
      <w:r>
        <w:rPr>
          <w:rFonts w:hint="eastAsia" w:ascii="仿宋_GB2312" w:eastAsia="仿宋_GB2312"/>
          <w:sz w:val="32"/>
          <w:szCs w:val="32"/>
        </w:rPr>
        <w:t>,主要用于我局及所属院校和干部教育单位教学等方面的支出。</w:t>
      </w:r>
    </w:p>
    <w:p>
      <w:pPr>
        <w:ind w:firstLine="645"/>
        <w:rPr>
          <w:rFonts w:hint="eastAsia" w:ascii="仿宋_GB2312" w:eastAsia="仿宋_GB2312"/>
          <w:sz w:val="32"/>
          <w:szCs w:val="32"/>
        </w:rPr>
      </w:pPr>
      <w:r>
        <w:rPr>
          <w:rFonts w:hint="eastAsia" w:ascii="仿宋_GB2312" w:eastAsia="仿宋_GB2312"/>
          <w:sz w:val="32"/>
          <w:szCs w:val="32"/>
        </w:rPr>
        <w:t>5、科学技术（类）支出0万元，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,主要用于我局及所属科研单位社会公益研究、高技术研究及改善科技条件等方面的支出。</w:t>
      </w:r>
    </w:p>
    <w:p>
      <w:pPr>
        <w:ind w:firstLine="645"/>
        <w:rPr>
          <w:rFonts w:hint="eastAsia" w:ascii="仿宋_GB2312" w:eastAsia="仿宋_GB2312"/>
          <w:sz w:val="32"/>
          <w:szCs w:val="32"/>
        </w:rPr>
      </w:pPr>
      <w:r>
        <w:rPr>
          <w:rFonts w:hint="eastAsia" w:ascii="仿宋_GB2312" w:eastAsia="仿宋_GB2312"/>
          <w:sz w:val="32"/>
          <w:szCs w:val="32"/>
        </w:rPr>
        <w:t>6、文化体育与传媒（类）支出0万元,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,主要用于我局及所属文体出版单位的体育活动、新闻通讯、出版发行等方面的支出。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7、社会保障和就业(类)支出12.95万元，</w:t>
      </w:r>
      <w:r>
        <w:rPr>
          <w:rFonts w:ascii="仿宋_GB2312" w:eastAsia="仿宋_GB2312"/>
          <w:sz w:val="32"/>
          <w:szCs w:val="32"/>
        </w:rPr>
        <w:t>占</w:t>
      </w:r>
      <w:r>
        <w:rPr>
          <w:rFonts w:hint="eastAsia" w:ascii="仿宋_GB2312" w:eastAsia="仿宋_GB2312"/>
          <w:sz w:val="32"/>
          <w:szCs w:val="32"/>
        </w:rPr>
        <w:t>0.06</w:t>
      </w:r>
      <w:r>
        <w:rPr>
          <w:rFonts w:ascii="仿宋_GB2312" w:eastAsia="仿宋_GB2312"/>
          <w:sz w:val="32"/>
          <w:szCs w:val="32"/>
        </w:rPr>
        <w:t>%</w:t>
      </w:r>
      <w:r>
        <w:rPr>
          <w:rFonts w:hint="eastAsia" w:ascii="仿宋_GB2312" w:eastAsia="仿宋_GB2312"/>
          <w:sz w:val="32"/>
          <w:szCs w:val="32"/>
        </w:rPr>
        <w:t>,主要用于我局开支的离退休人员经费和离退休干部管理机构为离退休人员提供管理和服务所发生的工作支出。</w:t>
      </w:r>
    </w:p>
    <w:p>
      <w:pPr>
        <w:ind w:firstLine="645"/>
        <w:rPr>
          <w:rFonts w:hint="eastAsia" w:ascii="仿宋_GB2312" w:eastAsia="仿宋_GB2312"/>
          <w:sz w:val="32"/>
          <w:szCs w:val="32"/>
        </w:rPr>
      </w:pPr>
      <w:r>
        <w:rPr>
          <w:rFonts w:hint="eastAsia" w:ascii="仿宋_GB2312" w:eastAsia="仿宋_GB2312"/>
          <w:sz w:val="32"/>
          <w:szCs w:val="32"/>
        </w:rPr>
        <w:t>8、医疗卫生(类)支出920.92万元，</w:t>
      </w:r>
      <w:r>
        <w:rPr>
          <w:rFonts w:ascii="仿宋_GB2312" w:eastAsia="仿宋_GB2312"/>
          <w:sz w:val="32"/>
          <w:szCs w:val="32"/>
        </w:rPr>
        <w:t>占</w:t>
      </w:r>
      <w:r>
        <w:rPr>
          <w:rFonts w:hint="eastAsia" w:ascii="仿宋_GB2312" w:eastAsia="仿宋_GB2312"/>
          <w:sz w:val="32"/>
          <w:szCs w:val="32"/>
        </w:rPr>
        <w:t>4.47</w:t>
      </w:r>
      <w:r>
        <w:rPr>
          <w:rFonts w:ascii="仿宋_GB2312" w:eastAsia="仿宋_GB2312"/>
          <w:sz w:val="32"/>
          <w:szCs w:val="32"/>
        </w:rPr>
        <w:t>%</w:t>
      </w:r>
      <w:r>
        <w:rPr>
          <w:rFonts w:hint="eastAsia" w:ascii="仿宋_GB2312" w:eastAsia="仿宋_GB2312"/>
          <w:sz w:val="32"/>
          <w:szCs w:val="32"/>
        </w:rPr>
        <w:t>,主要用于我局医疗卫生、重大疾病预防控制、突发公共卫生事件处理及存量资金</w:t>
      </w:r>
      <w:r>
        <w:rPr>
          <w:rFonts w:hint="eastAsia" w:ascii="仿宋_GB2312" w:hAnsi="宋体" w:eastAsia="仿宋_GB2312"/>
          <w:sz w:val="32"/>
          <w:szCs w:val="32"/>
        </w:rPr>
        <w:t>偿还储备征地中心贷款本金及利息</w:t>
      </w:r>
      <w:r>
        <w:rPr>
          <w:rFonts w:hint="eastAsia" w:ascii="仿宋_GB2312" w:eastAsia="仿宋_GB2312"/>
          <w:sz w:val="32"/>
          <w:szCs w:val="32"/>
        </w:rPr>
        <w:t>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9、节能环保(类)支出0万元，</w:t>
      </w:r>
      <w:r>
        <w:rPr>
          <w:rFonts w:ascii="仿宋_GB2312" w:eastAsia="仿宋_GB2312"/>
          <w:sz w:val="32"/>
          <w:szCs w:val="32"/>
        </w:rPr>
        <w:t>占</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,主要用于我局能源节约利用等方面的支出。</w:t>
      </w:r>
    </w:p>
    <w:p>
      <w:pPr>
        <w:ind w:firstLine="645"/>
        <w:rPr>
          <w:rFonts w:hint="eastAsia" w:ascii="仿宋_GB2312" w:eastAsia="仿宋_GB2312"/>
          <w:sz w:val="32"/>
          <w:szCs w:val="32"/>
        </w:rPr>
      </w:pPr>
      <w:r>
        <w:rPr>
          <w:rFonts w:hint="eastAsia" w:ascii="仿宋_GB2312" w:eastAsia="仿宋_GB2312"/>
          <w:sz w:val="32"/>
          <w:szCs w:val="32"/>
        </w:rPr>
        <w:t>10、城乡社区、国土海洋气象（类）支出19659.04万元，</w:t>
      </w:r>
      <w:r>
        <w:rPr>
          <w:rFonts w:ascii="仿宋_GB2312" w:eastAsia="仿宋_GB2312"/>
          <w:sz w:val="32"/>
          <w:szCs w:val="32"/>
        </w:rPr>
        <w:t>占</w:t>
      </w:r>
      <w:r>
        <w:rPr>
          <w:rFonts w:hint="eastAsia" w:ascii="仿宋_GB2312" w:eastAsia="仿宋_GB2312"/>
          <w:sz w:val="32"/>
          <w:szCs w:val="32"/>
        </w:rPr>
        <w:t>95.38</w:t>
      </w:r>
      <w:r>
        <w:rPr>
          <w:rFonts w:ascii="仿宋_GB2312" w:eastAsia="仿宋_GB2312"/>
          <w:sz w:val="32"/>
          <w:szCs w:val="32"/>
        </w:rPr>
        <w:t>%</w:t>
      </w:r>
      <w:r>
        <w:rPr>
          <w:rFonts w:hint="eastAsia" w:ascii="仿宋_GB2312" w:eastAsia="仿宋_GB2312"/>
          <w:sz w:val="32"/>
          <w:szCs w:val="32"/>
        </w:rPr>
        <w:t>,主要用于我局及所属单位行政运行人员工资、一般行政管理事务方面的支出及</w:t>
      </w:r>
      <w:r>
        <w:rPr>
          <w:rFonts w:hint="eastAsia" w:ascii="仿宋_GB2312" w:hAnsi="宋体" w:eastAsia="仿宋_GB2312"/>
          <w:sz w:val="32"/>
          <w:szCs w:val="32"/>
        </w:rPr>
        <w:t>基本农田建设和保护支出基金</w:t>
      </w:r>
      <w:r>
        <w:rPr>
          <w:rFonts w:hint="eastAsia" w:ascii="仿宋_GB2312" w:hAnsi="仿宋" w:eastAsia="仿宋_GB2312"/>
          <w:sz w:val="32"/>
          <w:szCs w:val="32"/>
        </w:rPr>
        <w:t>。</w:t>
      </w:r>
      <w:r>
        <w:rPr>
          <w:rFonts w:hint="eastAsia" w:ascii="仿宋_GB2312" w:eastAsia="仿宋_GB2312"/>
          <w:sz w:val="32"/>
          <w:szCs w:val="32"/>
        </w:rPr>
        <w:t>包括行政管理、基础设施建设等方面的支出。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11、住房保障支出(类)支出9.16万元，</w:t>
      </w:r>
      <w:r>
        <w:rPr>
          <w:rFonts w:ascii="仿宋_GB2312" w:eastAsia="仿宋_GB2312"/>
          <w:sz w:val="32"/>
          <w:szCs w:val="32"/>
        </w:rPr>
        <w:t>占</w:t>
      </w:r>
      <w:r>
        <w:rPr>
          <w:rFonts w:hint="eastAsia" w:ascii="仿宋_GB2312" w:eastAsia="仿宋_GB2312"/>
          <w:sz w:val="32"/>
          <w:szCs w:val="32"/>
        </w:rPr>
        <w:t>0.04</w:t>
      </w:r>
      <w:r>
        <w:rPr>
          <w:rFonts w:ascii="仿宋_GB2312" w:eastAsia="仿宋_GB2312"/>
          <w:sz w:val="32"/>
          <w:szCs w:val="32"/>
        </w:rPr>
        <w:t>%</w:t>
      </w:r>
      <w:r>
        <w:rPr>
          <w:rFonts w:hint="eastAsia" w:ascii="仿宋_GB2312" w:eastAsia="仿宋_GB2312"/>
          <w:sz w:val="32"/>
          <w:szCs w:val="32"/>
        </w:rPr>
        <w:t>,主要用于按照国家政策规定为职工缴纳和发放的住房公积金、提租补贴、购房补贴等住房改革方面的支出。</w:t>
      </w:r>
    </w:p>
    <w:p>
      <w:pPr>
        <w:ind w:firstLine="640" w:firstLineChars="200"/>
        <w:rPr>
          <w:rFonts w:hint="eastAsia" w:ascii="仿宋_GB2312" w:eastAsia="仿宋_GB2312"/>
          <w:sz w:val="32"/>
          <w:szCs w:val="32"/>
        </w:rPr>
      </w:pPr>
      <w:r>
        <w:rPr>
          <w:rFonts w:hint="eastAsia" w:ascii="仿宋_GB2312" w:eastAsia="仿宋_GB2312"/>
          <w:sz w:val="32"/>
          <w:szCs w:val="32"/>
        </w:rPr>
        <w:t>12、结转下年3.88万元，为本年度或以前年度预算安排、因客观条件发生变化无法按原计划实施，需要延迟到以后年度按有关规定继续使用的资金，既包括财政</w:t>
      </w:r>
      <w:r>
        <w:rPr>
          <w:rFonts w:hint="eastAsia" w:ascii="仿宋_GB2312" w:eastAsia="仿宋_GB2312"/>
          <w:sz w:val="32"/>
          <w:szCs w:val="32"/>
          <w:lang w:val="en-US" w:eastAsia="zh-CN"/>
        </w:rPr>
        <w:t>拨</w:t>
      </w:r>
      <w:bookmarkStart w:id="0" w:name="_GoBack"/>
      <w:bookmarkEnd w:id="0"/>
      <w:r>
        <w:rPr>
          <w:rFonts w:hint="eastAsia" w:ascii="仿宋_GB2312" w:eastAsia="仿宋_GB2312"/>
          <w:sz w:val="32"/>
          <w:szCs w:val="32"/>
        </w:rPr>
        <w:t>款结转和结余、也包括事业收入、经营收入、其他收入的结转和结余。</w:t>
      </w:r>
    </w:p>
    <w:p>
      <w:pPr>
        <w:ind w:firstLine="643" w:firstLineChars="200"/>
        <w:rPr>
          <w:rFonts w:hint="eastAsia" w:ascii="仿宋_GB2312" w:eastAsia="仿宋_GB2312"/>
          <w:b/>
          <w:sz w:val="32"/>
          <w:szCs w:val="32"/>
        </w:rPr>
      </w:pPr>
      <w:r>
        <w:rPr>
          <w:rFonts w:ascii="仿宋_GB2312" w:eastAsia="仿宋_GB2312"/>
          <w:b/>
          <w:sz w:val="32"/>
          <w:szCs w:val="32"/>
        </w:rPr>
        <w:t>（三）财政拨款支出决算的具体情况</w:t>
      </w:r>
    </w:p>
    <w:p>
      <w:pPr>
        <w:ind w:firstLine="645"/>
        <w:rPr>
          <w:rFonts w:hint="eastAsia" w:ascii="仿宋_GB2312" w:hAnsi="仿宋" w:eastAsia="仿宋_GB2312"/>
          <w:sz w:val="32"/>
          <w:szCs w:val="32"/>
        </w:rPr>
      </w:pPr>
      <w:r>
        <w:rPr>
          <w:rFonts w:hint="eastAsia" w:ascii="仿宋_GB2312" w:eastAsia="仿宋_GB2312"/>
          <w:sz w:val="32"/>
          <w:szCs w:val="32"/>
        </w:rPr>
        <w:t>城东区国土资源局</w:t>
      </w:r>
      <w:r>
        <w:rPr>
          <w:rFonts w:ascii="仿宋_GB2312" w:eastAsia="仿宋_GB2312"/>
          <w:sz w:val="32"/>
          <w:szCs w:val="32"/>
        </w:rPr>
        <w:t>2016年度财政拨款支出年初预算为</w:t>
      </w:r>
      <w:r>
        <w:rPr>
          <w:rFonts w:hint="eastAsia" w:ascii="仿宋_GB2312" w:eastAsia="仿宋_GB2312"/>
          <w:sz w:val="32"/>
          <w:szCs w:val="32"/>
        </w:rPr>
        <w:t>168.17</w:t>
      </w:r>
      <w:r>
        <w:rPr>
          <w:rFonts w:ascii="仿宋_GB2312" w:eastAsia="仿宋_GB2312"/>
          <w:sz w:val="32"/>
          <w:szCs w:val="32"/>
        </w:rPr>
        <w:t>万元，支出决算为</w:t>
      </w:r>
      <w:r>
        <w:rPr>
          <w:rFonts w:hint="eastAsia" w:ascii="仿宋_GB2312" w:eastAsia="仿宋_GB2312"/>
          <w:sz w:val="32"/>
          <w:szCs w:val="32"/>
        </w:rPr>
        <w:t>20610.66</w:t>
      </w:r>
      <w:r>
        <w:rPr>
          <w:rFonts w:ascii="仿宋_GB2312" w:eastAsia="仿宋_GB2312"/>
          <w:sz w:val="32"/>
          <w:szCs w:val="32"/>
        </w:rPr>
        <w:t>万元，完成年初预算的</w:t>
      </w:r>
      <w:r>
        <w:rPr>
          <w:rFonts w:hint="eastAsia" w:ascii="仿宋_GB2312" w:eastAsia="仿宋_GB2312"/>
          <w:sz w:val="32"/>
          <w:szCs w:val="32"/>
        </w:rPr>
        <w:t>12255.85</w:t>
      </w:r>
      <w:r>
        <w:rPr>
          <w:rFonts w:ascii="仿宋_GB2312" w:eastAsia="仿宋_GB2312"/>
          <w:sz w:val="32"/>
          <w:szCs w:val="32"/>
        </w:rPr>
        <w:t>%。决算数大于预算数的主要原因是</w:t>
      </w:r>
      <w:r>
        <w:rPr>
          <w:rFonts w:hint="eastAsia" w:ascii="仿宋_GB2312" w:eastAsia="仿宋_GB2312"/>
          <w:sz w:val="32"/>
          <w:szCs w:val="32"/>
        </w:rPr>
        <w:t>增加了项目资金</w:t>
      </w:r>
      <w:r>
        <w:rPr>
          <w:rFonts w:ascii="仿宋_GB2312" w:eastAsia="仿宋_GB2312"/>
          <w:sz w:val="32"/>
          <w:szCs w:val="32"/>
        </w:rPr>
        <w:t>。其中：</w:t>
      </w:r>
      <w:r>
        <w:rPr>
          <w:rFonts w:hint="eastAsia" w:ascii="仿宋_GB2312" w:hAnsi="宋体" w:eastAsia="仿宋_GB2312"/>
          <w:sz w:val="32"/>
          <w:szCs w:val="32"/>
        </w:rPr>
        <w:t>增加了偿还储备征地中心贷款本金及利息等支出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ascii="仿宋_GB2312" w:eastAsia="仿宋_GB2312"/>
          <w:sz w:val="32"/>
          <w:szCs w:val="32"/>
        </w:rPr>
        <w:t>1</w:t>
      </w:r>
      <w:r>
        <w:rPr>
          <w:rFonts w:hint="eastAsia" w:ascii="仿宋_GB2312" w:eastAsia="仿宋_GB2312"/>
          <w:sz w:val="32"/>
          <w:szCs w:val="32"/>
        </w:rPr>
        <w:t>、2100102</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252.88</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2100201</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412.26</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2100302</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245.08</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2100401</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2.04</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偿还储备征地中心贷款利息支出</w:t>
      </w:r>
      <w:r>
        <w:rPr>
          <w:rFonts w:hint="eastAsia" w:ascii="仿宋_GB2312" w:hAnsi="仿宋" w:eastAsia="仿宋_GB2312"/>
          <w:sz w:val="32"/>
          <w:szCs w:val="32"/>
        </w:rPr>
        <w:t>。</w:t>
      </w:r>
    </w:p>
    <w:p>
      <w:pPr>
        <w:ind w:firstLine="645"/>
        <w:rPr>
          <w:rFonts w:hint="eastAsia" w:ascii="仿宋_GB2312" w:hAnsi="宋体" w:eastAsia="仿宋_GB2312"/>
          <w:sz w:val="32"/>
          <w:szCs w:val="32"/>
        </w:rPr>
      </w:pPr>
      <w:r>
        <w:rPr>
          <w:rFonts w:hint="eastAsia" w:ascii="仿宋_GB2312" w:eastAsia="仿宋_GB2312"/>
          <w:sz w:val="32"/>
          <w:szCs w:val="32"/>
        </w:rPr>
        <w:t>5、2120399</w:t>
      </w:r>
      <w:r>
        <w:rPr>
          <w:rFonts w:ascii="仿宋_GB2312" w:eastAsia="仿宋_GB2312"/>
          <w:sz w:val="32"/>
          <w:szCs w:val="32"/>
        </w:rPr>
        <w:t>。年初预算为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19500</w:t>
      </w:r>
      <w:r>
        <w:rPr>
          <w:rFonts w:ascii="仿宋_GB2312" w:eastAsia="仿宋_GB2312"/>
          <w:sz w:val="32"/>
          <w:szCs w:val="32"/>
        </w:rPr>
        <w:t>万元。决算数</w:t>
      </w:r>
      <w:r>
        <w:rPr>
          <w:rFonts w:hint="eastAsia" w:ascii="仿宋_GB2312" w:eastAsia="仿宋_GB2312"/>
          <w:sz w:val="32"/>
          <w:szCs w:val="32"/>
        </w:rPr>
        <w:t>大</w:t>
      </w:r>
      <w:r>
        <w:rPr>
          <w:rFonts w:ascii="仿宋_GB2312" w:eastAsia="仿宋_GB2312"/>
          <w:sz w:val="32"/>
          <w:szCs w:val="32"/>
        </w:rPr>
        <w:t>于预算数的主要原因是</w:t>
      </w:r>
      <w:r>
        <w:rPr>
          <w:rFonts w:hint="eastAsia" w:ascii="仿宋_GB2312" w:hAnsi="宋体" w:eastAsia="仿宋_GB2312"/>
          <w:sz w:val="32"/>
          <w:szCs w:val="32"/>
        </w:rPr>
        <w:t>偿还储备征地中心贷款本金支出。</w:t>
      </w:r>
    </w:p>
    <w:p>
      <w:pPr>
        <w:ind w:firstLine="645"/>
        <w:rPr>
          <w:rFonts w:hint="eastAsia" w:ascii="仿宋_GB2312" w:eastAsia="仿宋_GB2312"/>
          <w:sz w:val="32"/>
          <w:szCs w:val="32"/>
        </w:rPr>
      </w:pPr>
      <w:r>
        <w:rPr>
          <w:rFonts w:hint="eastAsia" w:ascii="仿宋_GB2312" w:eastAsia="仿宋_GB2312"/>
          <w:b/>
          <w:sz w:val="32"/>
          <w:szCs w:val="32"/>
        </w:rPr>
        <w:t>六、关于城东区国土资源局2016年度</w:t>
      </w:r>
      <w:r>
        <w:rPr>
          <w:rFonts w:ascii="仿宋_GB2312" w:eastAsia="仿宋_GB2312"/>
          <w:b/>
          <w:sz w:val="32"/>
          <w:szCs w:val="32"/>
        </w:rPr>
        <w:t>一般公共预算财政拨款基本支出决算情况说明</w:t>
      </w:r>
    </w:p>
    <w:p>
      <w:pPr>
        <w:ind w:firstLine="640"/>
        <w:rPr>
          <w:rFonts w:hint="eastAsia" w:ascii="仿宋_GB2312" w:eastAsia="仿宋_GB2312"/>
          <w:sz w:val="32"/>
          <w:szCs w:val="32"/>
        </w:rPr>
      </w:pPr>
      <w:r>
        <w:rPr>
          <w:rFonts w:ascii="仿宋_GB2312" w:eastAsia="仿宋_GB2312"/>
          <w:sz w:val="32"/>
          <w:szCs w:val="32"/>
        </w:rPr>
        <w:t>2016年度财政拨款基本支出</w:t>
      </w:r>
      <w:r>
        <w:rPr>
          <w:rFonts w:hint="eastAsia" w:ascii="仿宋_GB2312" w:eastAsia="仿宋_GB2312"/>
          <w:sz w:val="32"/>
          <w:szCs w:val="32"/>
        </w:rPr>
        <w:t>173.51</w:t>
      </w:r>
      <w:r>
        <w:rPr>
          <w:rFonts w:ascii="仿宋_GB2312" w:eastAsia="仿宋_GB2312"/>
          <w:sz w:val="32"/>
          <w:szCs w:val="32"/>
        </w:rPr>
        <w:t>万元，其中：人员经费</w:t>
      </w:r>
      <w:r>
        <w:rPr>
          <w:rFonts w:hint="eastAsia" w:ascii="仿宋_GB2312" w:eastAsia="仿宋_GB2312"/>
          <w:sz w:val="32"/>
          <w:szCs w:val="32"/>
        </w:rPr>
        <w:t>139.98</w:t>
      </w:r>
      <w:r>
        <w:rPr>
          <w:rFonts w:ascii="仿宋_GB2312" w:eastAsia="仿宋_GB2312"/>
          <w:sz w:val="32"/>
          <w:szCs w:val="32"/>
        </w:rPr>
        <w:t>万元，主要包括：基本工资、津贴补贴、奖金、</w:t>
      </w:r>
      <w:r>
        <w:rPr>
          <w:rFonts w:hint="eastAsia" w:ascii="仿宋_GB2312" w:eastAsia="仿宋_GB2312"/>
          <w:sz w:val="32"/>
          <w:szCs w:val="32"/>
        </w:rPr>
        <w:t>其他</w:t>
      </w:r>
      <w:r>
        <w:rPr>
          <w:rFonts w:ascii="仿宋_GB2312" w:eastAsia="仿宋_GB2312"/>
          <w:sz w:val="32"/>
          <w:szCs w:val="32"/>
        </w:rPr>
        <w:t>社会保障缴费、机关事业单位基本养老保险缴费、其他工资福利支出、奖励金、住房公积金、购房补贴、</w:t>
      </w:r>
      <w:r>
        <w:rPr>
          <w:rFonts w:hint="eastAsia" w:ascii="仿宋_GB2312" w:eastAsia="仿宋_GB2312"/>
          <w:sz w:val="32"/>
          <w:szCs w:val="32"/>
        </w:rPr>
        <w:t>采暖补贴、</w:t>
      </w:r>
      <w:r>
        <w:rPr>
          <w:rFonts w:ascii="仿宋_GB2312" w:eastAsia="仿宋_GB2312"/>
          <w:sz w:val="32"/>
          <w:szCs w:val="32"/>
        </w:rPr>
        <w:t>其他对个人和家庭的补助支出；日常公用经费</w:t>
      </w:r>
      <w:r>
        <w:rPr>
          <w:rFonts w:hint="eastAsia" w:ascii="仿宋_GB2312" w:eastAsia="仿宋_GB2312"/>
          <w:sz w:val="32"/>
          <w:szCs w:val="32"/>
        </w:rPr>
        <w:t>33.53</w:t>
      </w:r>
      <w:r>
        <w:rPr>
          <w:rFonts w:ascii="仿宋_GB2312" w:eastAsia="仿宋_GB2312"/>
          <w:sz w:val="32"/>
          <w:szCs w:val="32"/>
        </w:rPr>
        <w:t>万元，主要包括：办公费、手续费、差旅费、培训费、公务接待费、专用材料费、劳务费、公务用车运行维护费、其他商品和服务支出。</w:t>
      </w:r>
    </w:p>
    <w:p>
      <w:pPr>
        <w:ind w:firstLine="640"/>
        <w:rPr>
          <w:rFonts w:hint="eastAsia" w:ascii="仿宋_GB2312" w:eastAsia="仿宋_GB2312"/>
          <w:b/>
          <w:sz w:val="32"/>
          <w:szCs w:val="32"/>
        </w:rPr>
      </w:pPr>
      <w:r>
        <w:rPr>
          <w:rFonts w:hint="eastAsia" w:ascii="仿宋_GB2312" w:eastAsia="仿宋_GB2312"/>
          <w:b/>
          <w:sz w:val="32"/>
          <w:szCs w:val="32"/>
        </w:rPr>
        <w:t>七、</w:t>
      </w:r>
      <w:r>
        <w:rPr>
          <w:rFonts w:ascii="仿宋_GB2312" w:eastAsia="仿宋_GB2312"/>
          <w:b/>
          <w:sz w:val="32"/>
          <w:szCs w:val="32"/>
        </w:rPr>
        <w:t>一般公共预算财政拨款“三公”经费支出情况说明</w:t>
      </w:r>
    </w:p>
    <w:p>
      <w:pPr>
        <w:ind w:firstLine="640"/>
        <w:rPr>
          <w:rFonts w:hint="eastAsia" w:ascii="仿宋_GB2312" w:eastAsia="仿宋_GB2312"/>
          <w:b/>
          <w:sz w:val="32"/>
          <w:szCs w:val="32"/>
        </w:rPr>
      </w:pPr>
      <w:r>
        <w:rPr>
          <w:rFonts w:ascii="仿宋_GB2312" w:eastAsia="仿宋_GB2312"/>
          <w:b/>
          <w:sz w:val="32"/>
          <w:szCs w:val="32"/>
        </w:rPr>
        <w:t>（一）“三公”经费财政拨款支出预算执行情况说明</w:t>
      </w:r>
    </w:p>
    <w:p>
      <w:pPr>
        <w:ind w:firstLine="640"/>
        <w:rPr>
          <w:rFonts w:hint="eastAsia" w:ascii="仿宋_GB2312" w:eastAsia="仿宋_GB2312"/>
          <w:sz w:val="32"/>
          <w:szCs w:val="32"/>
        </w:rPr>
      </w:pPr>
      <w:r>
        <w:rPr>
          <w:rFonts w:ascii="仿宋_GB2312" w:eastAsia="仿宋_GB2312"/>
          <w:sz w:val="32"/>
          <w:szCs w:val="32"/>
        </w:rPr>
        <w:t>2016年度“三公”经费财政拨款支出预算为</w:t>
      </w:r>
      <w:r>
        <w:rPr>
          <w:rFonts w:hint="eastAsia" w:ascii="仿宋_GB2312" w:eastAsia="仿宋_GB2312"/>
          <w:sz w:val="32"/>
          <w:szCs w:val="32"/>
        </w:rPr>
        <w:t>6.59</w:t>
      </w:r>
      <w:r>
        <w:rPr>
          <w:rFonts w:ascii="仿宋_GB2312" w:eastAsia="仿宋_GB2312"/>
          <w:sz w:val="32"/>
          <w:szCs w:val="32"/>
        </w:rPr>
        <w:t>万元，其中：因公出国（境）费预算</w:t>
      </w:r>
      <w:r>
        <w:rPr>
          <w:rFonts w:hint="eastAsia" w:ascii="仿宋_GB2312" w:eastAsia="仿宋_GB2312"/>
          <w:sz w:val="32"/>
          <w:szCs w:val="32"/>
        </w:rPr>
        <w:t>0</w:t>
      </w:r>
      <w:r>
        <w:rPr>
          <w:rFonts w:ascii="仿宋_GB2312" w:eastAsia="仿宋_GB2312"/>
          <w:sz w:val="32"/>
          <w:szCs w:val="32"/>
        </w:rPr>
        <w:t>万元，公务用车购置及运行费预算</w:t>
      </w:r>
      <w:r>
        <w:rPr>
          <w:rFonts w:hint="eastAsia" w:ascii="仿宋_GB2312" w:eastAsia="仿宋_GB2312"/>
          <w:sz w:val="32"/>
          <w:szCs w:val="32"/>
        </w:rPr>
        <w:t>6.15</w:t>
      </w:r>
      <w:r>
        <w:rPr>
          <w:rFonts w:ascii="仿宋_GB2312" w:eastAsia="仿宋_GB2312"/>
          <w:sz w:val="32"/>
          <w:szCs w:val="32"/>
        </w:rPr>
        <w:t>万元，公务接待费预算</w:t>
      </w:r>
      <w:r>
        <w:rPr>
          <w:rFonts w:hint="eastAsia" w:ascii="仿宋_GB2312" w:eastAsia="仿宋_GB2312"/>
          <w:sz w:val="32"/>
          <w:szCs w:val="32"/>
        </w:rPr>
        <w:t>0.44</w:t>
      </w:r>
      <w:r>
        <w:rPr>
          <w:rFonts w:ascii="仿宋_GB2312" w:eastAsia="仿宋_GB2312"/>
          <w:sz w:val="32"/>
          <w:szCs w:val="32"/>
        </w:rPr>
        <w:t>万元。支出决算为</w:t>
      </w:r>
      <w:r>
        <w:rPr>
          <w:rFonts w:hint="eastAsia" w:ascii="仿宋_GB2312" w:eastAsia="仿宋_GB2312"/>
          <w:sz w:val="32"/>
          <w:szCs w:val="32"/>
        </w:rPr>
        <w:t>4.26</w:t>
      </w:r>
      <w:r>
        <w:rPr>
          <w:rFonts w:ascii="仿宋_GB2312" w:eastAsia="仿宋_GB2312"/>
          <w:sz w:val="32"/>
          <w:szCs w:val="32"/>
        </w:rPr>
        <w:t>万元，完成预算的</w:t>
      </w:r>
      <w:r>
        <w:rPr>
          <w:rFonts w:hint="eastAsia" w:ascii="仿宋_GB2312" w:eastAsia="仿宋_GB2312"/>
          <w:sz w:val="32"/>
          <w:szCs w:val="32"/>
        </w:rPr>
        <w:t>64.64</w:t>
      </w:r>
      <w:r>
        <w:rPr>
          <w:rFonts w:ascii="仿宋_GB2312" w:eastAsia="仿宋_GB2312"/>
          <w:sz w:val="32"/>
          <w:szCs w:val="32"/>
        </w:rPr>
        <w:t>%，其中：因公出国（境）费支出决算为</w:t>
      </w:r>
      <w:r>
        <w:rPr>
          <w:rFonts w:hint="eastAsia" w:ascii="仿宋_GB2312" w:eastAsia="仿宋_GB2312"/>
          <w:sz w:val="32"/>
          <w:szCs w:val="32"/>
        </w:rPr>
        <w:t>0</w:t>
      </w:r>
      <w:r>
        <w:rPr>
          <w:rFonts w:ascii="仿宋_GB2312" w:eastAsia="仿宋_GB2312"/>
          <w:sz w:val="32"/>
          <w:szCs w:val="32"/>
        </w:rPr>
        <w:t>万元，完成预算的</w:t>
      </w:r>
      <w:r>
        <w:rPr>
          <w:rFonts w:hint="eastAsia" w:ascii="仿宋_GB2312" w:eastAsia="仿宋_GB2312"/>
          <w:sz w:val="32"/>
          <w:szCs w:val="32"/>
        </w:rPr>
        <w:t>0</w:t>
      </w:r>
      <w:r>
        <w:rPr>
          <w:rFonts w:ascii="仿宋_GB2312" w:eastAsia="仿宋_GB2312"/>
          <w:sz w:val="32"/>
          <w:szCs w:val="32"/>
        </w:rPr>
        <w:t>%；公务用车运行费支出决算为</w:t>
      </w:r>
      <w:r>
        <w:rPr>
          <w:rFonts w:hint="eastAsia" w:ascii="仿宋_GB2312" w:eastAsia="仿宋_GB2312"/>
          <w:sz w:val="32"/>
          <w:szCs w:val="32"/>
        </w:rPr>
        <w:t>3.98</w:t>
      </w:r>
      <w:r>
        <w:rPr>
          <w:rFonts w:ascii="仿宋_GB2312" w:eastAsia="仿宋_GB2312"/>
          <w:sz w:val="32"/>
          <w:szCs w:val="32"/>
        </w:rPr>
        <w:t>万元，完成预算的</w:t>
      </w:r>
      <w:r>
        <w:rPr>
          <w:rFonts w:hint="eastAsia" w:ascii="仿宋_GB2312" w:eastAsia="仿宋_GB2312"/>
          <w:sz w:val="32"/>
          <w:szCs w:val="32"/>
        </w:rPr>
        <w:t>64.72</w:t>
      </w:r>
      <w:r>
        <w:rPr>
          <w:rFonts w:ascii="仿宋_GB2312" w:eastAsia="仿宋_GB2312"/>
          <w:sz w:val="32"/>
          <w:szCs w:val="32"/>
        </w:rPr>
        <w:t>%；公务接待费支出决算为</w:t>
      </w:r>
      <w:r>
        <w:rPr>
          <w:rFonts w:hint="eastAsia" w:ascii="仿宋_GB2312" w:eastAsia="仿宋_GB2312"/>
          <w:sz w:val="32"/>
          <w:szCs w:val="32"/>
        </w:rPr>
        <w:t>0.28</w:t>
      </w:r>
      <w:r>
        <w:rPr>
          <w:rFonts w:ascii="仿宋_GB2312" w:eastAsia="仿宋_GB2312"/>
          <w:sz w:val="32"/>
          <w:szCs w:val="32"/>
        </w:rPr>
        <w:t>万元，完成预算</w:t>
      </w:r>
      <w:r>
        <w:rPr>
          <w:rFonts w:hint="eastAsia" w:ascii="仿宋_GB2312" w:eastAsia="仿宋_GB2312"/>
          <w:sz w:val="32"/>
          <w:szCs w:val="32"/>
        </w:rPr>
        <w:t>63.64</w:t>
      </w:r>
      <w:r>
        <w:rPr>
          <w:rFonts w:ascii="仿宋_GB2312" w:eastAsia="仿宋_GB2312"/>
          <w:sz w:val="32"/>
          <w:szCs w:val="32"/>
        </w:rPr>
        <w:t>%。</w:t>
      </w:r>
    </w:p>
    <w:p>
      <w:pPr>
        <w:ind w:firstLine="640"/>
        <w:rPr>
          <w:rFonts w:hint="eastAsia" w:ascii="仿宋_GB2312" w:eastAsia="仿宋_GB2312"/>
          <w:b/>
          <w:sz w:val="32"/>
          <w:szCs w:val="32"/>
        </w:rPr>
      </w:pPr>
      <w:r>
        <w:rPr>
          <w:rFonts w:ascii="仿宋_GB2312" w:eastAsia="仿宋_GB2312"/>
          <w:b/>
          <w:sz w:val="32"/>
          <w:szCs w:val="32"/>
        </w:rPr>
        <w:t>（二）“三公”经费财政拨款支出决算情况说明</w:t>
      </w:r>
    </w:p>
    <w:p>
      <w:pPr>
        <w:ind w:firstLine="640"/>
        <w:rPr>
          <w:rFonts w:hint="eastAsia" w:ascii="仿宋_GB2312" w:eastAsia="仿宋_GB2312"/>
          <w:sz w:val="32"/>
          <w:szCs w:val="32"/>
        </w:rPr>
      </w:pPr>
      <w:r>
        <w:rPr>
          <w:rFonts w:ascii="仿宋_GB2312" w:eastAsia="仿宋_GB2312"/>
          <w:sz w:val="32"/>
          <w:szCs w:val="32"/>
        </w:rPr>
        <w:t>2016年度“三公”经费财政拨款支出决算中，因公出国（境）费支出决算</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%；公务用车购置及运行费支出决算</w:t>
      </w:r>
      <w:r>
        <w:rPr>
          <w:rFonts w:hint="eastAsia" w:ascii="仿宋_GB2312" w:eastAsia="仿宋_GB2312"/>
          <w:sz w:val="32"/>
          <w:szCs w:val="32"/>
        </w:rPr>
        <w:t>3.98</w:t>
      </w:r>
      <w:r>
        <w:rPr>
          <w:rFonts w:ascii="仿宋_GB2312" w:eastAsia="仿宋_GB2312"/>
          <w:sz w:val="32"/>
          <w:szCs w:val="32"/>
        </w:rPr>
        <w:t>万元，占</w:t>
      </w:r>
      <w:r>
        <w:rPr>
          <w:rFonts w:hint="eastAsia" w:ascii="仿宋_GB2312" w:eastAsia="仿宋_GB2312"/>
          <w:sz w:val="32"/>
          <w:szCs w:val="32"/>
        </w:rPr>
        <w:t>93.43</w:t>
      </w:r>
      <w:r>
        <w:rPr>
          <w:rFonts w:ascii="仿宋_GB2312" w:eastAsia="仿宋_GB2312"/>
          <w:sz w:val="32"/>
          <w:szCs w:val="32"/>
        </w:rPr>
        <w:t>%；公务接待费支出决算</w:t>
      </w:r>
      <w:r>
        <w:rPr>
          <w:rFonts w:hint="eastAsia" w:ascii="仿宋_GB2312" w:eastAsia="仿宋_GB2312"/>
          <w:sz w:val="32"/>
          <w:szCs w:val="32"/>
        </w:rPr>
        <w:t>0.28</w:t>
      </w:r>
      <w:r>
        <w:rPr>
          <w:rFonts w:ascii="仿宋_GB2312" w:eastAsia="仿宋_GB2312"/>
          <w:sz w:val="32"/>
          <w:szCs w:val="32"/>
        </w:rPr>
        <w:t>万元，占</w:t>
      </w:r>
      <w:r>
        <w:rPr>
          <w:rFonts w:hint="eastAsia" w:ascii="仿宋_GB2312" w:eastAsia="仿宋_GB2312"/>
          <w:sz w:val="32"/>
          <w:szCs w:val="32"/>
        </w:rPr>
        <w:t>6.57</w:t>
      </w:r>
      <w:r>
        <w:rPr>
          <w:rFonts w:ascii="仿宋_GB2312" w:eastAsia="仿宋_GB2312"/>
          <w:sz w:val="32"/>
          <w:szCs w:val="32"/>
        </w:rPr>
        <w:t>%。具体情况如下：</w:t>
      </w:r>
    </w:p>
    <w:p>
      <w:pPr>
        <w:ind w:firstLine="64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因公出国（境）费支出</w:t>
      </w:r>
      <w:r>
        <w:rPr>
          <w:rFonts w:hint="eastAsia" w:ascii="仿宋_GB2312" w:eastAsia="仿宋_GB2312"/>
          <w:sz w:val="32"/>
          <w:szCs w:val="32"/>
        </w:rPr>
        <w:t>0</w:t>
      </w:r>
      <w:r>
        <w:rPr>
          <w:rFonts w:ascii="仿宋_GB2312" w:eastAsia="仿宋_GB2312"/>
          <w:sz w:val="32"/>
          <w:szCs w:val="32"/>
        </w:rPr>
        <w:t>万元。全年使用财政拨款安排部机关和部属单位出国团组</w:t>
      </w:r>
      <w:r>
        <w:rPr>
          <w:rFonts w:hint="eastAsia" w:ascii="仿宋_GB2312" w:eastAsia="仿宋_GB2312"/>
          <w:sz w:val="32"/>
          <w:szCs w:val="32"/>
        </w:rPr>
        <w:t>0</w:t>
      </w:r>
      <w:r>
        <w:rPr>
          <w:rFonts w:ascii="仿宋_GB2312" w:eastAsia="仿宋_GB2312"/>
          <w:sz w:val="32"/>
          <w:szCs w:val="32"/>
        </w:rPr>
        <w:t>个，</w:t>
      </w:r>
      <w:r>
        <w:rPr>
          <w:rFonts w:hint="eastAsia" w:ascii="仿宋_GB2312" w:eastAsia="仿宋_GB2312"/>
          <w:sz w:val="32"/>
          <w:szCs w:val="32"/>
        </w:rPr>
        <w:t>0</w:t>
      </w:r>
      <w:r>
        <w:rPr>
          <w:rFonts w:ascii="仿宋_GB2312" w:eastAsia="仿宋_GB2312"/>
          <w:sz w:val="32"/>
          <w:szCs w:val="32"/>
        </w:rPr>
        <w:t>人次。</w:t>
      </w:r>
    </w:p>
    <w:p>
      <w:pPr>
        <w:ind w:firstLine="64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公务用车购置及运行费支出</w:t>
      </w:r>
      <w:r>
        <w:rPr>
          <w:rFonts w:hint="eastAsia" w:ascii="仿宋_GB2312" w:eastAsia="仿宋_GB2312"/>
          <w:sz w:val="32"/>
          <w:szCs w:val="32"/>
        </w:rPr>
        <w:t>3.98</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公务用车购置支出</w:t>
      </w:r>
      <w:r>
        <w:rPr>
          <w:rFonts w:hint="eastAsia" w:ascii="仿宋_GB2312" w:eastAsia="仿宋_GB2312"/>
          <w:sz w:val="32"/>
          <w:szCs w:val="32"/>
        </w:rPr>
        <w:t>0万元，购置公务用车0辆；</w:t>
      </w:r>
      <w:r>
        <w:rPr>
          <w:rFonts w:ascii="仿宋_GB2312" w:eastAsia="仿宋_GB2312"/>
          <w:sz w:val="32"/>
          <w:szCs w:val="32"/>
        </w:rPr>
        <w:t>公务用车运行费支出</w:t>
      </w:r>
      <w:r>
        <w:rPr>
          <w:rFonts w:hint="eastAsia" w:ascii="仿宋_GB2312" w:eastAsia="仿宋_GB2312"/>
          <w:sz w:val="32"/>
          <w:szCs w:val="32"/>
        </w:rPr>
        <w:t>3.98</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公务用车保有量为</w:t>
      </w:r>
      <w:r>
        <w:rPr>
          <w:rFonts w:hint="eastAsia" w:ascii="仿宋_GB2312" w:eastAsia="仿宋_GB2312"/>
          <w:sz w:val="32"/>
          <w:szCs w:val="32"/>
        </w:rPr>
        <w:t>3</w:t>
      </w:r>
      <w:r>
        <w:rPr>
          <w:rFonts w:ascii="仿宋_GB2312" w:eastAsia="仿宋_GB2312"/>
          <w:sz w:val="32"/>
          <w:szCs w:val="32"/>
        </w:rPr>
        <w:t>辆。</w:t>
      </w:r>
    </w:p>
    <w:p>
      <w:pPr>
        <w:ind w:firstLine="64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公务接待费支出</w:t>
      </w:r>
      <w:r>
        <w:rPr>
          <w:rFonts w:hint="eastAsia" w:ascii="仿宋_GB2312" w:eastAsia="仿宋_GB2312"/>
          <w:sz w:val="32"/>
          <w:szCs w:val="32"/>
        </w:rPr>
        <w:t>0.28</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外事接待支出</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rPr>
        <w:t>0</w:t>
      </w:r>
      <w:r>
        <w:rPr>
          <w:rFonts w:ascii="仿宋_GB2312" w:eastAsia="仿宋_GB2312"/>
          <w:sz w:val="32"/>
          <w:szCs w:val="32"/>
        </w:rPr>
        <w:t>批次，</w:t>
      </w:r>
      <w:r>
        <w:rPr>
          <w:rFonts w:hint="eastAsia" w:ascii="仿宋_GB2312" w:eastAsia="仿宋_GB2312"/>
          <w:sz w:val="32"/>
          <w:szCs w:val="32"/>
        </w:rPr>
        <w:t>0</w:t>
      </w:r>
      <w:r>
        <w:rPr>
          <w:rFonts w:ascii="仿宋_GB2312" w:eastAsia="仿宋_GB2312"/>
          <w:sz w:val="32"/>
          <w:szCs w:val="32"/>
        </w:rPr>
        <w:t>人次</w:t>
      </w:r>
      <w:r>
        <w:rPr>
          <w:rFonts w:hint="eastAsia" w:ascii="仿宋_GB2312" w:eastAsia="仿宋_GB2312"/>
          <w:sz w:val="32"/>
          <w:szCs w:val="32"/>
        </w:rPr>
        <w:t>；</w:t>
      </w:r>
      <w:r>
        <w:rPr>
          <w:rFonts w:ascii="仿宋_GB2312" w:eastAsia="仿宋_GB2312"/>
          <w:sz w:val="32"/>
          <w:szCs w:val="32"/>
        </w:rPr>
        <w:t>国内公务接待支出</w:t>
      </w:r>
      <w:r>
        <w:rPr>
          <w:rFonts w:hint="eastAsia" w:ascii="仿宋_GB2312" w:eastAsia="仿宋_GB2312"/>
          <w:sz w:val="32"/>
          <w:szCs w:val="32"/>
        </w:rPr>
        <w:t>0.28</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rPr>
        <w:t>2</w:t>
      </w:r>
      <w:r>
        <w:rPr>
          <w:rFonts w:ascii="仿宋_GB2312" w:eastAsia="仿宋_GB2312"/>
          <w:sz w:val="32"/>
          <w:szCs w:val="32"/>
        </w:rPr>
        <w:t>批次，</w:t>
      </w:r>
      <w:r>
        <w:rPr>
          <w:rFonts w:hint="eastAsia" w:ascii="仿宋_GB2312" w:eastAsia="仿宋_GB2312"/>
          <w:sz w:val="32"/>
          <w:szCs w:val="32"/>
        </w:rPr>
        <w:t>接待25</w:t>
      </w:r>
      <w:r>
        <w:rPr>
          <w:rFonts w:ascii="仿宋_GB2312" w:eastAsia="仿宋_GB2312"/>
          <w:sz w:val="32"/>
          <w:szCs w:val="32"/>
        </w:rPr>
        <w:t>人。</w:t>
      </w:r>
    </w:p>
    <w:p>
      <w:pPr>
        <w:ind w:firstLine="640"/>
        <w:rPr>
          <w:rFonts w:hint="eastAsia" w:ascii="仿宋_GB2312" w:eastAsia="仿宋_GB2312"/>
          <w:b/>
          <w:sz w:val="32"/>
          <w:szCs w:val="32"/>
        </w:rPr>
      </w:pPr>
      <w:r>
        <w:rPr>
          <w:rFonts w:ascii="仿宋_GB2312" w:eastAsia="仿宋_GB2312"/>
          <w:b/>
          <w:sz w:val="32"/>
          <w:szCs w:val="32"/>
        </w:rPr>
        <w:t>（三）“三公”经费与上年执行情况差异说明</w:t>
      </w:r>
    </w:p>
    <w:p>
      <w:pPr>
        <w:ind w:firstLine="640"/>
        <w:rPr>
          <w:rFonts w:hint="eastAsia" w:ascii="仿宋_GB2312" w:eastAsia="仿宋_GB2312"/>
          <w:sz w:val="32"/>
          <w:szCs w:val="32"/>
        </w:rPr>
      </w:pPr>
      <w:r>
        <w:rPr>
          <w:rFonts w:ascii="仿宋_GB2312" w:eastAsia="仿宋_GB2312"/>
          <w:sz w:val="32"/>
          <w:szCs w:val="32"/>
        </w:rPr>
        <w:t>2016年度“三公”经费支出决算数比上年决算数减少</w:t>
      </w:r>
      <w:r>
        <w:rPr>
          <w:rFonts w:hint="eastAsia" w:ascii="仿宋_GB2312" w:eastAsia="仿宋_GB2312"/>
          <w:sz w:val="32"/>
          <w:szCs w:val="32"/>
        </w:rPr>
        <w:t>2.13</w:t>
      </w:r>
      <w:r>
        <w:rPr>
          <w:rFonts w:ascii="仿宋_GB2312" w:eastAsia="仿宋_GB2312"/>
          <w:sz w:val="32"/>
          <w:szCs w:val="32"/>
        </w:rPr>
        <w:t>万元，其中：因公出国（境）支出决算数比上年数减少</w:t>
      </w:r>
      <w:r>
        <w:rPr>
          <w:rFonts w:hint="eastAsia" w:ascii="仿宋_GB2312" w:eastAsia="仿宋_GB2312"/>
          <w:sz w:val="32"/>
          <w:szCs w:val="32"/>
        </w:rPr>
        <w:t>0</w:t>
      </w:r>
      <w:r>
        <w:rPr>
          <w:rFonts w:ascii="仿宋_GB2312" w:eastAsia="仿宋_GB2312"/>
          <w:sz w:val="32"/>
          <w:szCs w:val="32"/>
        </w:rPr>
        <w:t>万元，公务用车购置及运行维护费支出决算数比上年数减少</w:t>
      </w:r>
      <w:r>
        <w:rPr>
          <w:rFonts w:hint="eastAsia" w:ascii="仿宋_GB2312" w:eastAsia="仿宋_GB2312"/>
          <w:sz w:val="32"/>
          <w:szCs w:val="32"/>
        </w:rPr>
        <w:t>2.17</w:t>
      </w:r>
      <w:r>
        <w:rPr>
          <w:rFonts w:ascii="仿宋_GB2312" w:eastAsia="仿宋_GB2312"/>
          <w:sz w:val="32"/>
          <w:szCs w:val="32"/>
        </w:rPr>
        <w:t>万元，公务接待费支出决算数比上年数</w:t>
      </w:r>
      <w:r>
        <w:rPr>
          <w:rFonts w:hint="eastAsia" w:ascii="仿宋_GB2312" w:eastAsia="仿宋_GB2312"/>
          <w:sz w:val="32"/>
          <w:szCs w:val="32"/>
        </w:rPr>
        <w:t>增加0.04</w:t>
      </w:r>
      <w:r>
        <w:rPr>
          <w:rFonts w:ascii="仿宋_GB2312" w:eastAsia="仿宋_GB2312"/>
          <w:sz w:val="32"/>
          <w:szCs w:val="32"/>
        </w:rPr>
        <w:t>万元，主要原因是</w:t>
      </w:r>
      <w:r>
        <w:rPr>
          <w:rFonts w:hint="eastAsia" w:ascii="仿宋_GB2312" w:eastAsia="仿宋_GB2312"/>
          <w:sz w:val="32"/>
          <w:szCs w:val="32"/>
        </w:rPr>
        <w:t>：公务用车方面因为加大了力度统筹安排、统一调度，公务接待方面因为接待人数增加。</w:t>
      </w:r>
    </w:p>
    <w:p>
      <w:pPr>
        <w:ind w:firstLine="640"/>
        <w:rPr>
          <w:rFonts w:hint="eastAsia" w:ascii="仿宋_GB2312" w:eastAsia="仿宋_GB2312"/>
          <w:b/>
          <w:sz w:val="32"/>
          <w:szCs w:val="32"/>
        </w:rPr>
      </w:pPr>
      <w:r>
        <w:rPr>
          <w:rFonts w:hint="eastAsia" w:ascii="仿宋_GB2312" w:eastAsia="仿宋_GB2312"/>
          <w:b/>
          <w:sz w:val="32"/>
          <w:szCs w:val="32"/>
        </w:rPr>
        <w:t>八、关于城东区国土资源局</w:t>
      </w:r>
      <w:r>
        <w:rPr>
          <w:rFonts w:ascii="仿宋_GB2312" w:eastAsia="仿宋_GB2312"/>
          <w:b/>
          <w:sz w:val="32"/>
          <w:szCs w:val="32"/>
        </w:rPr>
        <w:t>2016年度政府性基金收入支出情况说明</w:t>
      </w:r>
    </w:p>
    <w:p>
      <w:pPr>
        <w:ind w:firstLine="640"/>
        <w:rPr>
          <w:rFonts w:hint="eastAsia" w:ascii="仿宋_GB2312" w:eastAsia="仿宋_GB2312"/>
          <w:sz w:val="32"/>
          <w:szCs w:val="32"/>
        </w:rPr>
      </w:pPr>
      <w:r>
        <w:rPr>
          <w:rFonts w:ascii="仿宋_GB2312" w:eastAsia="仿宋_GB2312"/>
          <w:sz w:val="32"/>
          <w:szCs w:val="32"/>
        </w:rPr>
        <w:t>2016年政府性基金预算财政拨款上年结转和结余</w:t>
      </w:r>
      <w:r>
        <w:rPr>
          <w:rFonts w:hint="eastAsia" w:ascii="仿宋_GB2312" w:eastAsia="仿宋_GB2312"/>
          <w:sz w:val="32"/>
          <w:szCs w:val="32"/>
        </w:rPr>
        <w:t>0</w:t>
      </w:r>
      <w:r>
        <w:rPr>
          <w:rFonts w:ascii="仿宋_GB2312" w:eastAsia="仿宋_GB2312"/>
          <w:sz w:val="32"/>
          <w:szCs w:val="32"/>
        </w:rPr>
        <w:t>万元，本年收入</w:t>
      </w:r>
      <w:r>
        <w:rPr>
          <w:rFonts w:hint="eastAsia" w:ascii="仿宋_GB2312" w:eastAsia="仿宋_GB2312"/>
          <w:sz w:val="32"/>
          <w:szCs w:val="32"/>
        </w:rPr>
        <w:t>34.17</w:t>
      </w:r>
      <w:r>
        <w:rPr>
          <w:rFonts w:ascii="仿宋_GB2312" w:eastAsia="仿宋_GB2312"/>
          <w:sz w:val="32"/>
          <w:szCs w:val="32"/>
        </w:rPr>
        <w:t>万元，本年支出</w:t>
      </w:r>
      <w:r>
        <w:rPr>
          <w:rFonts w:hint="eastAsia" w:ascii="仿宋_GB2312" w:eastAsia="仿宋_GB2312"/>
          <w:sz w:val="32"/>
          <w:szCs w:val="32"/>
        </w:rPr>
        <w:t>34.17</w:t>
      </w:r>
      <w:r>
        <w:rPr>
          <w:rFonts w:ascii="仿宋_GB2312" w:eastAsia="仿宋_GB2312"/>
          <w:sz w:val="32"/>
          <w:szCs w:val="32"/>
        </w:rPr>
        <w:t>万元，年末结转和结余</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支出具体情况如下：</w:t>
      </w:r>
    </w:p>
    <w:p>
      <w:pPr>
        <w:ind w:firstLine="640"/>
        <w:rPr>
          <w:rFonts w:hint="eastAsia" w:ascii="仿宋_GB2312" w:eastAsia="仿宋_GB2312"/>
          <w:sz w:val="32"/>
          <w:szCs w:val="32"/>
        </w:rPr>
      </w:pPr>
      <w:r>
        <w:rPr>
          <w:rFonts w:hint="eastAsia" w:ascii="仿宋_GB2312" w:eastAsia="仿宋_GB2312"/>
          <w:sz w:val="32"/>
          <w:szCs w:val="32"/>
        </w:rPr>
        <w:t>2121202基本农田建设和保护支出34.17万元，占100%。</w:t>
      </w:r>
    </w:p>
    <w:p>
      <w:pPr>
        <w:ind w:firstLine="640"/>
        <w:rPr>
          <w:rFonts w:hint="eastAsia" w:ascii="仿宋_GB2312" w:eastAsia="仿宋_GB2312"/>
          <w:b/>
          <w:sz w:val="32"/>
          <w:szCs w:val="32"/>
        </w:rPr>
      </w:pPr>
      <w:r>
        <w:rPr>
          <w:rFonts w:hint="eastAsia" w:ascii="仿宋_GB2312" w:eastAsia="仿宋_GB2312"/>
          <w:b/>
          <w:sz w:val="32"/>
          <w:szCs w:val="32"/>
        </w:rPr>
        <w:t>九</w:t>
      </w:r>
      <w:r>
        <w:rPr>
          <w:rFonts w:ascii="仿宋_GB2312" w:eastAsia="仿宋_GB2312"/>
          <w:b/>
          <w:sz w:val="32"/>
          <w:szCs w:val="32"/>
        </w:rPr>
        <w:t>、关于</w:t>
      </w:r>
      <w:r>
        <w:rPr>
          <w:rFonts w:hint="eastAsia" w:ascii="仿宋_GB2312" w:eastAsia="仿宋_GB2312"/>
          <w:b/>
          <w:sz w:val="32"/>
          <w:szCs w:val="32"/>
        </w:rPr>
        <w:t>城东区国土资源局</w:t>
      </w:r>
      <w:r>
        <w:rPr>
          <w:rFonts w:hint="eastAsia" w:ascii="仿宋_GB2312" w:hAnsi="仿宋" w:eastAsia="仿宋_GB2312"/>
          <w:b/>
          <w:sz w:val="32"/>
          <w:szCs w:val="32"/>
        </w:rPr>
        <w:t>项目支出绩效目标完成情况</w:t>
      </w:r>
      <w:r>
        <w:rPr>
          <w:rFonts w:ascii="仿宋_GB2312" w:eastAsia="仿宋_GB2312"/>
          <w:b/>
          <w:sz w:val="32"/>
          <w:szCs w:val="32"/>
        </w:rPr>
        <w:t>说明</w:t>
      </w:r>
    </w:p>
    <w:p>
      <w:pPr>
        <w:spacing w:line="600" w:lineRule="exact"/>
        <w:ind w:firstLine="616" w:firstLineChars="200"/>
        <w:rPr>
          <w:rFonts w:hint="eastAsia" w:ascii="仿宋_GB2312" w:hAnsi="仿宋" w:eastAsia="仿宋_GB2312"/>
          <w:spacing w:val="-6"/>
          <w:sz w:val="32"/>
          <w:szCs w:val="32"/>
        </w:rPr>
      </w:pPr>
      <w:r>
        <w:rPr>
          <w:rFonts w:hint="eastAsia" w:ascii="仿宋_GB2312" w:hAnsi="仿宋" w:eastAsia="仿宋_GB2312"/>
          <w:spacing w:val="-6"/>
          <w:sz w:val="32"/>
          <w:szCs w:val="32"/>
        </w:rPr>
        <w:t>2016年度，省财政厅下达预算绩效项目0项,完成0项，具体情况如下：</w:t>
      </w:r>
    </w:p>
    <w:p>
      <w:pPr>
        <w:spacing w:line="600" w:lineRule="exact"/>
        <w:ind w:firstLine="616" w:firstLineChars="200"/>
        <w:rPr>
          <w:rFonts w:hint="eastAsia" w:ascii="仿宋_GB2312" w:hAnsi="仿宋" w:eastAsia="仿宋_GB2312"/>
          <w:spacing w:val="-6"/>
          <w:sz w:val="32"/>
          <w:szCs w:val="32"/>
        </w:rPr>
      </w:pPr>
      <w:r>
        <w:rPr>
          <w:rFonts w:hint="eastAsia" w:ascii="仿宋_GB2312" w:hAnsi="仿宋" w:eastAsia="仿宋_GB2312"/>
          <w:spacing w:val="-6"/>
          <w:sz w:val="32"/>
          <w:szCs w:val="32"/>
        </w:rPr>
        <w:t>城东区国土资源局没有</w:t>
      </w:r>
      <w:r>
        <w:rPr>
          <w:rFonts w:hint="eastAsia" w:ascii="仿宋_GB2312" w:hAnsi="仿宋" w:eastAsia="仿宋_GB2312"/>
          <w:sz w:val="32"/>
          <w:szCs w:val="32"/>
        </w:rPr>
        <w:t>预算资金绩效安排。</w:t>
      </w:r>
    </w:p>
    <w:p>
      <w:pPr>
        <w:ind w:firstLine="640"/>
        <w:rPr>
          <w:rFonts w:hint="eastAsia" w:ascii="仿宋_GB2312" w:eastAsia="仿宋_GB2312"/>
          <w:b/>
          <w:sz w:val="32"/>
          <w:szCs w:val="32"/>
        </w:rPr>
      </w:pPr>
      <w:r>
        <w:rPr>
          <w:rFonts w:hint="eastAsia" w:ascii="仿宋_GB2312" w:eastAsia="仿宋_GB2312"/>
          <w:b/>
          <w:sz w:val="32"/>
          <w:szCs w:val="32"/>
        </w:rPr>
        <w:t>十</w:t>
      </w:r>
      <w:r>
        <w:rPr>
          <w:rFonts w:ascii="仿宋_GB2312" w:eastAsia="仿宋_GB2312"/>
          <w:b/>
          <w:sz w:val="32"/>
          <w:szCs w:val="32"/>
        </w:rPr>
        <w:t>、其他重要事项的情况说明</w:t>
      </w:r>
    </w:p>
    <w:p>
      <w:pPr>
        <w:ind w:firstLine="640"/>
        <w:rPr>
          <w:rFonts w:hint="eastAsia" w:ascii="仿宋_GB2312" w:eastAsia="仿宋_GB2312"/>
          <w:sz w:val="32"/>
          <w:szCs w:val="32"/>
        </w:rPr>
      </w:pPr>
      <w:r>
        <w:rPr>
          <w:rFonts w:ascii="仿宋_GB2312" w:eastAsia="仿宋_GB2312"/>
          <w:sz w:val="32"/>
          <w:szCs w:val="32"/>
        </w:rPr>
        <w:t>（一）机关运行经费支出情况。</w:t>
      </w:r>
      <w:r>
        <w:rPr>
          <w:rFonts w:hint="eastAsia" w:ascii="仿宋_GB2312" w:eastAsia="仿宋_GB2312"/>
          <w:sz w:val="32"/>
          <w:szCs w:val="32"/>
        </w:rPr>
        <w:t>城东区国土资源局</w:t>
      </w:r>
      <w:r>
        <w:rPr>
          <w:rFonts w:ascii="仿宋_GB2312" w:eastAsia="仿宋_GB2312"/>
          <w:sz w:val="32"/>
          <w:szCs w:val="32"/>
        </w:rPr>
        <w:t>2016年度机关运行经费支出</w:t>
      </w:r>
      <w:r>
        <w:rPr>
          <w:rFonts w:hint="eastAsia" w:ascii="仿宋_GB2312" w:eastAsia="仿宋_GB2312"/>
          <w:sz w:val="32"/>
          <w:szCs w:val="32"/>
        </w:rPr>
        <w:t>33.53</w:t>
      </w:r>
      <w:r>
        <w:rPr>
          <w:rFonts w:ascii="仿宋_GB2312" w:eastAsia="仿宋_GB2312"/>
          <w:sz w:val="32"/>
          <w:szCs w:val="32"/>
        </w:rPr>
        <w:t>万元，2015年度机关运行经费支出</w:t>
      </w:r>
      <w:r>
        <w:rPr>
          <w:rFonts w:hint="eastAsia" w:ascii="仿宋_GB2312" w:eastAsia="仿宋_GB2312"/>
          <w:sz w:val="32"/>
          <w:szCs w:val="32"/>
        </w:rPr>
        <w:t>31.83</w:t>
      </w:r>
      <w:r>
        <w:rPr>
          <w:rFonts w:ascii="仿宋_GB2312" w:eastAsia="仿宋_GB2312"/>
          <w:sz w:val="32"/>
          <w:szCs w:val="32"/>
        </w:rPr>
        <w:t>万元，机关运行经费</w:t>
      </w:r>
      <w:r>
        <w:rPr>
          <w:rFonts w:hint="eastAsia" w:ascii="仿宋_GB2312" w:eastAsia="仿宋_GB2312"/>
          <w:sz w:val="32"/>
          <w:szCs w:val="32"/>
        </w:rPr>
        <w:t>增（减）</w:t>
      </w:r>
      <w:r>
        <w:rPr>
          <w:rFonts w:ascii="仿宋_GB2312" w:eastAsia="仿宋_GB2312"/>
          <w:sz w:val="32"/>
          <w:szCs w:val="32"/>
        </w:rPr>
        <w:t>的主要原因是</w:t>
      </w:r>
      <w:r>
        <w:rPr>
          <w:rFonts w:hint="eastAsia" w:ascii="仿宋_GB2312" w:hAnsi="宋体" w:eastAsia="仿宋_GB2312"/>
          <w:sz w:val="32"/>
          <w:szCs w:val="32"/>
        </w:rPr>
        <w:t>成立了不动产登记中心人员增加</w:t>
      </w:r>
      <w:r>
        <w:rPr>
          <w:rFonts w:hint="eastAsia" w:ascii="仿宋_GB2312" w:eastAsia="仿宋_GB2312"/>
          <w:sz w:val="32"/>
          <w:szCs w:val="32"/>
        </w:rPr>
        <w:t>。</w:t>
      </w:r>
    </w:p>
    <w:p>
      <w:pPr>
        <w:ind w:firstLine="640"/>
        <w:rPr>
          <w:rFonts w:hint="eastAsia" w:ascii="仿宋_GB2312" w:eastAsia="仿宋_GB2312"/>
          <w:sz w:val="32"/>
          <w:szCs w:val="32"/>
        </w:rPr>
      </w:pPr>
      <w:r>
        <w:rPr>
          <w:rFonts w:ascii="仿宋_GB2312" w:eastAsia="仿宋_GB2312"/>
          <w:sz w:val="32"/>
          <w:szCs w:val="32"/>
        </w:rPr>
        <w:t>（二）政府采购情况。2016年本部门政府采购支出总额</w:t>
      </w:r>
      <w:r>
        <w:rPr>
          <w:rFonts w:hint="eastAsia" w:ascii="仿宋_GB2312" w:eastAsia="仿宋_GB2312"/>
          <w:sz w:val="32"/>
          <w:szCs w:val="32"/>
        </w:rPr>
        <w:t>3</w:t>
      </w:r>
      <w:r>
        <w:rPr>
          <w:rFonts w:ascii="仿宋_GB2312" w:eastAsia="仿宋_GB2312"/>
          <w:sz w:val="32"/>
          <w:szCs w:val="32"/>
        </w:rPr>
        <w:t>万元，其中：政府采购货物支出</w:t>
      </w:r>
      <w:r>
        <w:rPr>
          <w:rFonts w:hint="eastAsia" w:ascii="仿宋_GB2312" w:eastAsia="仿宋_GB2312"/>
          <w:sz w:val="32"/>
          <w:szCs w:val="32"/>
        </w:rPr>
        <w:t>3</w:t>
      </w:r>
      <w:r>
        <w:rPr>
          <w:rFonts w:ascii="仿宋_GB2312" w:eastAsia="仿宋_GB2312"/>
          <w:sz w:val="32"/>
          <w:szCs w:val="32"/>
        </w:rPr>
        <w:t>万元、政府采购工程支出</w:t>
      </w:r>
      <w:r>
        <w:rPr>
          <w:rFonts w:hint="eastAsia" w:ascii="仿宋_GB2312" w:eastAsia="仿宋_GB2312"/>
          <w:sz w:val="32"/>
          <w:szCs w:val="32"/>
        </w:rPr>
        <w:t>0</w:t>
      </w:r>
      <w:r>
        <w:rPr>
          <w:rFonts w:ascii="仿宋_GB2312" w:eastAsia="仿宋_GB2312"/>
          <w:sz w:val="32"/>
          <w:szCs w:val="32"/>
        </w:rPr>
        <w:t>万元、政府采购服务支出</w:t>
      </w:r>
      <w:r>
        <w:rPr>
          <w:rFonts w:hint="eastAsia" w:ascii="仿宋_GB2312" w:eastAsia="仿宋_GB2312"/>
          <w:sz w:val="32"/>
          <w:szCs w:val="32"/>
        </w:rPr>
        <w:t>0</w:t>
      </w:r>
      <w:r>
        <w:rPr>
          <w:rFonts w:ascii="仿宋_GB2312" w:eastAsia="仿宋_GB2312"/>
          <w:sz w:val="32"/>
          <w:szCs w:val="32"/>
        </w:rPr>
        <w:t>万元。</w:t>
      </w:r>
    </w:p>
    <w:p>
      <w:pPr>
        <w:ind w:firstLine="640"/>
        <w:rPr>
          <w:rFonts w:hint="eastAsia" w:ascii="仿宋_GB2312" w:eastAsia="仿宋_GB2312"/>
          <w:sz w:val="32"/>
          <w:szCs w:val="32"/>
        </w:rPr>
      </w:pPr>
      <w:r>
        <w:rPr>
          <w:rFonts w:ascii="仿宋_GB2312" w:eastAsia="仿宋_GB2312"/>
          <w:sz w:val="32"/>
          <w:szCs w:val="32"/>
        </w:rPr>
        <w:t>（三）国有资产占用情况。截至2016年12月31日，</w:t>
      </w:r>
      <w:r>
        <w:rPr>
          <w:rFonts w:hint="eastAsia" w:ascii="仿宋_GB2312" w:eastAsia="仿宋_GB2312"/>
          <w:sz w:val="32"/>
          <w:szCs w:val="32"/>
        </w:rPr>
        <w:t>城东区国土资源局</w:t>
      </w:r>
      <w:r>
        <w:rPr>
          <w:rFonts w:ascii="仿宋_GB2312" w:eastAsia="仿宋_GB2312"/>
          <w:sz w:val="32"/>
          <w:szCs w:val="32"/>
        </w:rPr>
        <w:t>共有车辆</w:t>
      </w:r>
      <w:r>
        <w:rPr>
          <w:rFonts w:hint="eastAsia" w:ascii="仿宋_GB2312" w:eastAsia="仿宋_GB2312"/>
          <w:sz w:val="32"/>
          <w:szCs w:val="32"/>
        </w:rPr>
        <w:t>3</w:t>
      </w:r>
      <w:r>
        <w:rPr>
          <w:rFonts w:ascii="仿宋_GB2312" w:eastAsia="仿宋_GB2312"/>
          <w:sz w:val="32"/>
          <w:szCs w:val="32"/>
        </w:rPr>
        <w:t>辆，其中：副部（省）级及以上领导用车</w:t>
      </w:r>
      <w:r>
        <w:rPr>
          <w:rFonts w:hint="eastAsia" w:ascii="仿宋_GB2312" w:eastAsia="仿宋_GB2312"/>
          <w:sz w:val="32"/>
          <w:szCs w:val="32"/>
        </w:rPr>
        <w:t>0</w:t>
      </w:r>
      <w:r>
        <w:rPr>
          <w:rFonts w:ascii="仿宋_GB2312" w:eastAsia="仿宋_GB2312"/>
          <w:sz w:val="32"/>
          <w:szCs w:val="32"/>
        </w:rPr>
        <w:t>辆、一般公务用车</w:t>
      </w:r>
      <w:r>
        <w:rPr>
          <w:rFonts w:hint="eastAsia" w:ascii="仿宋_GB2312" w:eastAsia="仿宋_GB2312"/>
          <w:sz w:val="32"/>
          <w:szCs w:val="32"/>
        </w:rPr>
        <w:t>1</w:t>
      </w:r>
      <w:r>
        <w:rPr>
          <w:rFonts w:ascii="仿宋_GB2312" w:eastAsia="仿宋_GB2312"/>
          <w:sz w:val="32"/>
          <w:szCs w:val="32"/>
        </w:rPr>
        <w:t>辆、一般执法执勤用车</w:t>
      </w:r>
      <w:r>
        <w:rPr>
          <w:rFonts w:hint="eastAsia" w:ascii="仿宋_GB2312" w:eastAsia="仿宋_GB2312"/>
          <w:sz w:val="32"/>
          <w:szCs w:val="32"/>
        </w:rPr>
        <w:t>1</w:t>
      </w:r>
      <w:r>
        <w:rPr>
          <w:rFonts w:ascii="仿宋_GB2312" w:eastAsia="仿宋_GB2312"/>
          <w:sz w:val="32"/>
          <w:szCs w:val="32"/>
        </w:rPr>
        <w:t>辆、特种专业技术用车</w:t>
      </w:r>
      <w:r>
        <w:rPr>
          <w:rFonts w:hint="eastAsia" w:ascii="仿宋_GB2312" w:eastAsia="仿宋_GB2312"/>
          <w:sz w:val="32"/>
          <w:szCs w:val="32"/>
        </w:rPr>
        <w:t>0</w:t>
      </w:r>
      <w:r>
        <w:rPr>
          <w:rFonts w:ascii="仿宋_GB2312" w:eastAsia="仿宋_GB2312"/>
          <w:sz w:val="32"/>
          <w:szCs w:val="32"/>
        </w:rPr>
        <w:t>辆、其他用车</w:t>
      </w:r>
      <w:r>
        <w:rPr>
          <w:rFonts w:hint="eastAsia" w:ascii="仿宋_GB2312" w:eastAsia="仿宋_GB2312"/>
          <w:sz w:val="32"/>
          <w:szCs w:val="32"/>
        </w:rPr>
        <w:t>1</w:t>
      </w:r>
      <w:r>
        <w:rPr>
          <w:rFonts w:ascii="仿宋_GB2312" w:eastAsia="仿宋_GB2312"/>
          <w:sz w:val="32"/>
          <w:szCs w:val="32"/>
        </w:rPr>
        <w:t>辆（为我部门</w:t>
      </w:r>
      <w:r>
        <w:rPr>
          <w:rFonts w:hint="eastAsia" w:ascii="仿宋_GB2312" w:eastAsia="仿宋_GB2312"/>
          <w:sz w:val="32"/>
          <w:szCs w:val="32"/>
        </w:rPr>
        <w:t>及</w:t>
      </w:r>
      <w:r>
        <w:rPr>
          <w:rFonts w:ascii="仿宋_GB2312" w:eastAsia="仿宋_GB2312"/>
          <w:sz w:val="32"/>
          <w:szCs w:val="32"/>
        </w:rPr>
        <w:t>所属单位用于</w:t>
      </w:r>
      <w:r>
        <w:rPr>
          <w:rFonts w:hint="eastAsia" w:ascii="仿宋_GB2312" w:eastAsia="仿宋_GB2312"/>
          <w:sz w:val="32"/>
          <w:szCs w:val="32"/>
        </w:rPr>
        <w:t>土地征地及储备</w:t>
      </w:r>
      <w:r>
        <w:rPr>
          <w:rFonts w:ascii="仿宋_GB2312" w:eastAsia="仿宋_GB2312"/>
          <w:sz w:val="32"/>
          <w:szCs w:val="32"/>
        </w:rPr>
        <w:t>等方面的车辆）；单价50万元以上通用设备</w:t>
      </w:r>
      <w:r>
        <w:rPr>
          <w:rFonts w:hint="eastAsia" w:ascii="仿宋_GB2312" w:eastAsia="仿宋_GB2312"/>
          <w:sz w:val="32"/>
          <w:szCs w:val="32"/>
        </w:rPr>
        <w:t>0</w:t>
      </w:r>
      <w:r>
        <w:rPr>
          <w:rFonts w:ascii="仿宋_GB2312" w:eastAsia="仿宋_GB2312"/>
          <w:sz w:val="32"/>
          <w:szCs w:val="32"/>
        </w:rPr>
        <w:t>台（套），单价100万元以上专用设备</w:t>
      </w:r>
      <w:r>
        <w:rPr>
          <w:rFonts w:hint="eastAsia" w:ascii="仿宋_GB2312" w:eastAsia="仿宋_GB2312"/>
          <w:sz w:val="32"/>
          <w:szCs w:val="32"/>
        </w:rPr>
        <w:t>0</w:t>
      </w:r>
      <w:r>
        <w:rPr>
          <w:rFonts w:ascii="仿宋_GB2312" w:eastAsia="仿宋_GB2312"/>
          <w:sz w:val="32"/>
          <w:szCs w:val="32"/>
        </w:rPr>
        <w:t>台（套）。</w:t>
      </w:r>
    </w:p>
    <w:p>
      <w:pPr>
        <w:ind w:firstLine="640"/>
        <w:rPr>
          <w:rFonts w:hint="eastAsia" w:ascii="仿宋_GB2312" w:eastAsia="仿宋_GB2312"/>
          <w:sz w:val="32"/>
          <w:szCs w:val="32"/>
        </w:rPr>
      </w:pPr>
    </w:p>
    <w:p>
      <w:pPr>
        <w:jc w:val="center"/>
        <w:rPr>
          <w:rFonts w:hint="eastAsia" w:ascii="仿宋_GB2312" w:eastAsia="仿宋_GB2312"/>
          <w:b/>
          <w:sz w:val="32"/>
          <w:szCs w:val="32"/>
        </w:rPr>
      </w:pPr>
      <w:r>
        <w:rPr>
          <w:rFonts w:hint="eastAsia" w:ascii="仿宋_GB2312" w:eastAsia="仿宋_GB2312"/>
          <w:b/>
          <w:sz w:val="32"/>
          <w:szCs w:val="32"/>
        </w:rPr>
        <w:t>第四部分名词解释</w:t>
      </w:r>
    </w:p>
    <w:p>
      <w:pPr>
        <w:ind w:firstLine="640" w:firstLineChars="200"/>
        <w:rPr>
          <w:rFonts w:hint="eastAsia"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财政拨款收入：指</w:t>
      </w:r>
      <w:r>
        <w:rPr>
          <w:rFonts w:hint="eastAsia" w:ascii="仿宋_GB2312" w:eastAsia="仿宋_GB2312"/>
          <w:sz w:val="32"/>
          <w:szCs w:val="32"/>
        </w:rPr>
        <w:t>本级</w:t>
      </w:r>
      <w:r>
        <w:rPr>
          <w:rFonts w:ascii="仿宋_GB2312" w:eastAsia="仿宋_GB2312"/>
          <w:sz w:val="32"/>
          <w:szCs w:val="32"/>
        </w:rPr>
        <w:t>财政当年拨付的资金。</w:t>
      </w:r>
    </w:p>
    <w:p>
      <w:pPr>
        <w:ind w:firstLine="640" w:firstLineChars="200"/>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w:t>
      </w:r>
      <w:r>
        <w:rPr>
          <w:rFonts w:ascii="仿宋_GB2312" w:eastAsia="仿宋_GB2312"/>
          <w:sz w:val="32"/>
          <w:szCs w:val="32"/>
        </w:rPr>
        <w:t>上级补助收入：指事业单位从主管部门和上级单位取得的非财政补助收入。</w:t>
      </w:r>
    </w:p>
    <w:p>
      <w:pPr>
        <w:ind w:firstLine="640" w:firstLineChars="200"/>
        <w:rPr>
          <w:rFonts w:hint="eastAsia"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w:t>
      </w:r>
      <w:r>
        <w:rPr>
          <w:rFonts w:ascii="仿宋_GB2312" w:eastAsia="仿宋_GB2312"/>
          <w:sz w:val="32"/>
          <w:szCs w:val="32"/>
        </w:rPr>
        <w:t>事业收入：指事业单位开展专业业务活动及其辅助活动取得的收入。</w:t>
      </w:r>
    </w:p>
    <w:p>
      <w:pPr>
        <w:ind w:firstLine="640" w:firstLineChars="200"/>
        <w:rPr>
          <w:rFonts w:hint="eastAsia"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附属单位缴款：指事业单位附属的独立核算单位按规定标准或比例缴纳的各项收入。</w:t>
      </w:r>
    </w:p>
    <w:p>
      <w:pPr>
        <w:ind w:firstLine="640" w:firstLineChars="200"/>
        <w:rPr>
          <w:rFonts w:hint="eastAsia"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w:t>
      </w:r>
      <w:r>
        <w:rPr>
          <w:rFonts w:ascii="仿宋_GB2312" w:eastAsia="仿宋_GB2312"/>
          <w:sz w:val="32"/>
          <w:szCs w:val="32"/>
        </w:rPr>
        <w:t>其他收入：指除上述“财政拨款收入”、“事业收入”、“经营收入”等以外的收入，如投资收益、利息收入等。</w:t>
      </w:r>
    </w:p>
    <w:p>
      <w:pPr>
        <w:ind w:firstLine="640" w:firstLineChars="200"/>
        <w:rPr>
          <w:rFonts w:hint="eastAsia"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w:t>
      </w:r>
      <w:r>
        <w:rPr>
          <w:rFonts w:ascii="仿宋_GB2312" w:eastAsia="仿宋_GB2312"/>
          <w:sz w:val="32"/>
          <w:szCs w:val="32"/>
        </w:rPr>
        <w:t>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ind w:firstLine="640" w:firstLineChars="200"/>
        <w:rPr>
          <w:rFonts w:hint="eastAsia" w:ascii="仿宋_GB2312" w:eastAsia="仿宋_GB2312"/>
          <w:sz w:val="32"/>
          <w:szCs w:val="32"/>
        </w:rPr>
      </w:pPr>
      <w:r>
        <w:rPr>
          <w:rFonts w:ascii="仿宋_GB2312" w:eastAsia="仿宋_GB2312"/>
          <w:sz w:val="32"/>
          <w:szCs w:val="32"/>
        </w:rPr>
        <w:t>八</w:t>
      </w:r>
      <w:r>
        <w:rPr>
          <w:rFonts w:hint="eastAsia" w:ascii="仿宋_GB2312" w:eastAsia="仿宋_GB2312"/>
          <w:sz w:val="32"/>
          <w:szCs w:val="32"/>
        </w:rPr>
        <w:t>、</w:t>
      </w:r>
      <w:r>
        <w:rPr>
          <w:rFonts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九</w:t>
      </w:r>
      <w:r>
        <w:rPr>
          <w:rFonts w:hint="eastAsia" w:ascii="仿宋_GB2312" w:eastAsia="仿宋_GB2312"/>
          <w:sz w:val="32"/>
          <w:szCs w:val="32"/>
        </w:rPr>
        <w:t>、</w:t>
      </w:r>
      <w:r>
        <w:rPr>
          <w:rFonts w:ascii="仿宋_GB2312" w:eastAsia="仿宋_GB2312"/>
          <w:sz w:val="32"/>
          <w:szCs w:val="32"/>
        </w:rPr>
        <w:t>住房保障支出（类）住房改革支出（款）：指</w:t>
      </w:r>
      <w:r>
        <w:rPr>
          <w:rFonts w:hint="eastAsia" w:ascii="仿宋_GB2312" w:eastAsia="仿宋_GB2312"/>
          <w:sz w:val="32"/>
          <w:szCs w:val="32"/>
        </w:rPr>
        <w:t>我局</w:t>
      </w:r>
      <w:r>
        <w:rPr>
          <w:rFonts w:ascii="仿宋_GB2312" w:eastAsia="仿宋_GB2312"/>
          <w:sz w:val="32"/>
          <w:szCs w:val="32"/>
        </w:rPr>
        <w:t>机关及</w:t>
      </w:r>
      <w:r>
        <w:rPr>
          <w:rFonts w:hint="eastAsia" w:ascii="仿宋_GB2312" w:eastAsia="仿宋_GB2312"/>
          <w:sz w:val="32"/>
          <w:szCs w:val="32"/>
        </w:rPr>
        <w:t>所</w:t>
      </w:r>
      <w:r>
        <w:rPr>
          <w:rFonts w:ascii="仿宋_GB2312" w:eastAsia="仿宋_GB2312"/>
          <w:sz w:val="32"/>
          <w:szCs w:val="32"/>
        </w:rPr>
        <w:t>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w:t>
      </w:r>
      <w:r>
        <w:rPr>
          <w:rFonts w:hint="eastAsia" w:ascii="仿宋_GB2312" w:eastAsia="仿宋_GB2312"/>
          <w:sz w:val="32"/>
          <w:szCs w:val="32"/>
        </w:rPr>
        <w:t>房改政策规定的标准</w:t>
      </w:r>
      <w:r>
        <w:rPr>
          <w:rFonts w:ascii="仿宋_GB2312" w:eastAsia="仿宋_GB2312"/>
          <w:sz w:val="32"/>
          <w:szCs w:val="32"/>
        </w:rPr>
        <w:t>，</w:t>
      </w:r>
      <w:r>
        <w:rPr>
          <w:rFonts w:hint="eastAsia" w:ascii="仿宋_GB2312" w:eastAsia="仿宋_GB2312"/>
          <w:sz w:val="32"/>
          <w:szCs w:val="32"/>
        </w:rPr>
        <w:t>向职工发放的租金补贴，</w:t>
      </w:r>
      <w:r>
        <w:rPr>
          <w:rFonts w:ascii="仿宋_GB2312" w:eastAsia="仿宋_GB2312"/>
          <w:sz w:val="32"/>
          <w:szCs w:val="32"/>
        </w:rPr>
        <w:t>人均标准</w:t>
      </w:r>
      <w:r>
        <w:rPr>
          <w:rFonts w:hint="eastAsia" w:ascii="仿宋_GB2312" w:eastAsia="仿宋_GB2312"/>
          <w:sz w:val="32"/>
          <w:szCs w:val="32"/>
        </w:rPr>
        <w:t>*</w:t>
      </w:r>
      <w:r>
        <w:rPr>
          <w:rFonts w:ascii="仿宋_GB2312" w:eastAsia="仿宋_GB2312"/>
          <w:sz w:val="32"/>
          <w:szCs w:val="32"/>
        </w:rPr>
        <w:t>元/月。3.购房补贴：</w:t>
      </w:r>
      <w:r>
        <w:rPr>
          <w:rFonts w:hint="eastAsia" w:ascii="仿宋_GB2312" w:eastAsia="仿宋_GB2312"/>
          <w:sz w:val="32"/>
          <w:szCs w:val="32"/>
        </w:rPr>
        <w:t>指1998年住房分配货币化改革以后，按照国家房改政策规定，向无房职工、住房面积未达到规定标准的职工发放的住房补贴。</w:t>
      </w:r>
    </w:p>
    <w:p>
      <w:pPr>
        <w:ind w:firstLine="640" w:firstLineChars="200"/>
        <w:rPr>
          <w:rFonts w:hint="eastAsia" w:ascii="仿宋_GB2312" w:eastAsia="仿宋_GB2312"/>
          <w:sz w:val="32"/>
          <w:szCs w:val="32"/>
        </w:rPr>
      </w:pPr>
      <w:r>
        <w:rPr>
          <w:rFonts w:ascii="仿宋_GB2312" w:eastAsia="仿宋_GB2312"/>
          <w:sz w:val="32"/>
          <w:szCs w:val="32"/>
        </w:rPr>
        <w:t>十</w:t>
      </w:r>
      <w:r>
        <w:rPr>
          <w:rFonts w:hint="eastAsia" w:ascii="仿宋_GB2312" w:eastAsia="仿宋_GB2312"/>
          <w:sz w:val="32"/>
          <w:szCs w:val="32"/>
        </w:rPr>
        <w:t>、</w:t>
      </w:r>
      <w:r>
        <w:rPr>
          <w:rFonts w:ascii="仿宋_GB2312" w:eastAsia="仿宋_GB2312"/>
          <w:sz w:val="32"/>
          <w:szCs w:val="32"/>
        </w:rPr>
        <w:t>结余分配：指当年结余的分配情况。主要包括事业单位按规定提取的职工福利基金，交纳所得税、转入事业基金以外的结余分配情况。</w:t>
      </w:r>
    </w:p>
    <w:p>
      <w:pPr>
        <w:ind w:firstLine="640" w:firstLineChars="200"/>
        <w:rPr>
          <w:rFonts w:hint="eastAsia" w:ascii="仿宋_GB2312" w:eastAsia="仿宋_GB2312"/>
          <w:sz w:val="32"/>
          <w:szCs w:val="32"/>
        </w:rPr>
      </w:pPr>
      <w:r>
        <w:rPr>
          <w:rFonts w:ascii="仿宋_GB2312" w:eastAsia="仿宋_GB2312"/>
          <w:sz w:val="32"/>
          <w:szCs w:val="32"/>
        </w:rPr>
        <w:t>十一</w:t>
      </w:r>
      <w:r>
        <w:rPr>
          <w:rFonts w:hint="eastAsia" w:ascii="仿宋_GB2312" w:eastAsia="仿宋_GB2312"/>
          <w:sz w:val="32"/>
          <w:szCs w:val="32"/>
        </w:rPr>
        <w:t>、</w:t>
      </w:r>
      <w:r>
        <w:rPr>
          <w:rFonts w:ascii="仿宋_GB2312" w:eastAsia="仿宋_GB2312"/>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十二</w:t>
      </w:r>
      <w:r>
        <w:rPr>
          <w:rFonts w:hint="eastAsia" w:ascii="仿宋_GB2312" w:eastAsia="仿宋_GB2312"/>
          <w:sz w:val="32"/>
          <w:szCs w:val="32"/>
        </w:rPr>
        <w:t>、</w:t>
      </w:r>
      <w:r>
        <w:rPr>
          <w:rFonts w:ascii="仿宋_GB2312" w:eastAsia="仿宋_GB2312"/>
          <w:sz w:val="32"/>
          <w:szCs w:val="32"/>
        </w:rPr>
        <w:t>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ascii="仿宋_GB2312" w:eastAsia="仿宋_GB2312"/>
          <w:sz w:val="32"/>
          <w:szCs w:val="32"/>
        </w:rPr>
        <w:t>十三</w:t>
      </w:r>
      <w:r>
        <w:rPr>
          <w:rFonts w:hint="eastAsia" w:ascii="仿宋_GB2312" w:eastAsia="仿宋_GB2312"/>
          <w:sz w:val="32"/>
          <w:szCs w:val="32"/>
        </w:rPr>
        <w:t>、</w:t>
      </w:r>
      <w:r>
        <w:rPr>
          <w:rFonts w:ascii="仿宋_GB2312" w:eastAsia="仿宋_GB2312"/>
          <w:sz w:val="32"/>
          <w:szCs w:val="32"/>
        </w:rPr>
        <w:t>项目支出：指在基本支出之外为完成特定行政任务和事业发展目标所发生的支出。</w:t>
      </w:r>
    </w:p>
    <w:p>
      <w:pPr>
        <w:ind w:firstLine="640" w:firstLineChars="200"/>
        <w:rPr>
          <w:rFonts w:hint="eastAsia" w:ascii="仿宋_GB2312" w:eastAsia="仿宋_GB2312"/>
          <w:sz w:val="32"/>
          <w:szCs w:val="32"/>
        </w:rPr>
      </w:pPr>
      <w:r>
        <w:rPr>
          <w:rFonts w:ascii="仿宋_GB2312" w:eastAsia="仿宋_GB2312"/>
          <w:sz w:val="32"/>
          <w:szCs w:val="32"/>
        </w:rPr>
        <w:t>十四</w:t>
      </w:r>
      <w:r>
        <w:rPr>
          <w:rFonts w:hint="eastAsia" w:ascii="仿宋_GB2312" w:eastAsia="仿宋_GB2312"/>
          <w:sz w:val="32"/>
          <w:szCs w:val="32"/>
        </w:rPr>
        <w:t>、</w:t>
      </w:r>
      <w:r>
        <w:rPr>
          <w:rFonts w:ascii="仿宋_GB2312" w:eastAsia="仿宋_GB2312"/>
          <w:sz w:val="32"/>
          <w:szCs w:val="32"/>
        </w:rPr>
        <w:t>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ascii="仿宋_GB2312" w:eastAsia="仿宋_GB2312"/>
          <w:sz w:val="32"/>
          <w:szCs w:val="32"/>
        </w:rPr>
        <w:t>十五</w:t>
      </w:r>
      <w:r>
        <w:rPr>
          <w:rFonts w:hint="eastAsia" w:ascii="仿宋_GB2312" w:eastAsia="仿宋_GB2312"/>
          <w:sz w:val="32"/>
          <w:szCs w:val="32"/>
        </w:rPr>
        <w:t>、</w:t>
      </w:r>
      <w:r>
        <w:rPr>
          <w:rFonts w:ascii="仿宋_GB2312" w:eastAsia="仿宋_GB2312"/>
          <w:sz w:val="32"/>
          <w:szCs w:val="32"/>
        </w:rPr>
        <w:t>对附属单位补助支出：指预算单位对所属单位补助发生的支出。</w:t>
      </w:r>
    </w:p>
    <w:p>
      <w:pPr>
        <w:ind w:firstLine="640" w:firstLineChars="200"/>
        <w:rPr>
          <w:rFonts w:hint="eastAsia" w:ascii="仿宋_GB2312" w:eastAsia="仿宋_GB2312"/>
          <w:sz w:val="32"/>
          <w:szCs w:val="32"/>
        </w:rPr>
      </w:pPr>
      <w:r>
        <w:rPr>
          <w:rFonts w:ascii="仿宋_GB2312" w:eastAsia="仿宋_GB2312"/>
          <w:sz w:val="32"/>
          <w:szCs w:val="32"/>
        </w:rPr>
        <w:t>十六</w:t>
      </w:r>
      <w:r>
        <w:rPr>
          <w:rFonts w:hint="eastAsia" w:ascii="仿宋_GB2312" w:eastAsia="仿宋_GB2312"/>
          <w:sz w:val="32"/>
          <w:szCs w:val="32"/>
        </w:rPr>
        <w:t>、</w:t>
      </w:r>
      <w:r>
        <w:rPr>
          <w:rFonts w:ascii="仿宋_GB2312" w:eastAsia="仿宋_GB2312"/>
          <w:sz w:val="32"/>
          <w:szCs w:val="32"/>
        </w:rPr>
        <w:t>“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firstLineChars="200"/>
        <w:rPr>
          <w:rFonts w:hint="eastAsia" w:ascii="仿宋_GB2312" w:eastAsia="仿宋_GB2312"/>
          <w:sz w:val="32"/>
          <w:szCs w:val="32"/>
        </w:rPr>
      </w:pPr>
      <w:r>
        <w:rPr>
          <w:rFonts w:ascii="仿宋_GB2312" w:eastAsia="仿宋_GB2312"/>
          <w:sz w:val="32"/>
          <w:szCs w:val="32"/>
        </w:rPr>
        <w:t>十七</w:t>
      </w:r>
      <w:r>
        <w:rPr>
          <w:rFonts w:hint="eastAsia" w:ascii="仿宋_GB2312" w:eastAsia="仿宋_GB2312"/>
          <w:sz w:val="32"/>
          <w:szCs w:val="32"/>
        </w:rPr>
        <w:t>、</w:t>
      </w:r>
      <w:r>
        <w:rPr>
          <w:rFonts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YzUxNjRhNTliMzg5NDBmOTRmMWIyYmZkZDE4MGMifQ=="/>
  </w:docVars>
  <w:rsids>
    <w:rsidRoot w:val="00531DE1"/>
    <w:rsid w:val="000013F9"/>
    <w:rsid w:val="00021D15"/>
    <w:rsid w:val="00022E10"/>
    <w:rsid w:val="0002576B"/>
    <w:rsid w:val="00034373"/>
    <w:rsid w:val="00036968"/>
    <w:rsid w:val="00036CEC"/>
    <w:rsid w:val="00040B80"/>
    <w:rsid w:val="000978F8"/>
    <w:rsid w:val="00097A19"/>
    <w:rsid w:val="000A2DBE"/>
    <w:rsid w:val="000C0F2F"/>
    <w:rsid w:val="000D632E"/>
    <w:rsid w:val="000E4004"/>
    <w:rsid w:val="00106A2B"/>
    <w:rsid w:val="00117D5F"/>
    <w:rsid w:val="001368B6"/>
    <w:rsid w:val="00160F6F"/>
    <w:rsid w:val="00165134"/>
    <w:rsid w:val="00176063"/>
    <w:rsid w:val="00190F69"/>
    <w:rsid w:val="001B2092"/>
    <w:rsid w:val="001C009A"/>
    <w:rsid w:val="001C4ECC"/>
    <w:rsid w:val="001E531A"/>
    <w:rsid w:val="001F7335"/>
    <w:rsid w:val="00200895"/>
    <w:rsid w:val="002125DD"/>
    <w:rsid w:val="00215420"/>
    <w:rsid w:val="00232E05"/>
    <w:rsid w:val="00237364"/>
    <w:rsid w:val="002546C3"/>
    <w:rsid w:val="00256A95"/>
    <w:rsid w:val="00265AAC"/>
    <w:rsid w:val="002958DB"/>
    <w:rsid w:val="002A23CD"/>
    <w:rsid w:val="002C17D4"/>
    <w:rsid w:val="002C261A"/>
    <w:rsid w:val="002C663C"/>
    <w:rsid w:val="002E3E46"/>
    <w:rsid w:val="00311B2D"/>
    <w:rsid w:val="00312B6F"/>
    <w:rsid w:val="00332385"/>
    <w:rsid w:val="00354AC6"/>
    <w:rsid w:val="00365F86"/>
    <w:rsid w:val="00373E12"/>
    <w:rsid w:val="00387981"/>
    <w:rsid w:val="00397D39"/>
    <w:rsid w:val="003A1186"/>
    <w:rsid w:val="003A6837"/>
    <w:rsid w:val="003B0191"/>
    <w:rsid w:val="003C559C"/>
    <w:rsid w:val="003E185A"/>
    <w:rsid w:val="003E5279"/>
    <w:rsid w:val="003E6265"/>
    <w:rsid w:val="003E678B"/>
    <w:rsid w:val="0040430E"/>
    <w:rsid w:val="00423BE5"/>
    <w:rsid w:val="004262D6"/>
    <w:rsid w:val="00427CD8"/>
    <w:rsid w:val="00431D02"/>
    <w:rsid w:val="004325CB"/>
    <w:rsid w:val="00442F1D"/>
    <w:rsid w:val="004514FF"/>
    <w:rsid w:val="00473C43"/>
    <w:rsid w:val="00477BB2"/>
    <w:rsid w:val="004800D7"/>
    <w:rsid w:val="00485598"/>
    <w:rsid w:val="004A0C96"/>
    <w:rsid w:val="004B0133"/>
    <w:rsid w:val="004B60C6"/>
    <w:rsid w:val="004C079C"/>
    <w:rsid w:val="004F718B"/>
    <w:rsid w:val="005013EE"/>
    <w:rsid w:val="005049BA"/>
    <w:rsid w:val="0051621A"/>
    <w:rsid w:val="00531DE1"/>
    <w:rsid w:val="00532E35"/>
    <w:rsid w:val="0056174A"/>
    <w:rsid w:val="005778D5"/>
    <w:rsid w:val="005827B1"/>
    <w:rsid w:val="005833F5"/>
    <w:rsid w:val="00583594"/>
    <w:rsid w:val="005A2F46"/>
    <w:rsid w:val="005C3A53"/>
    <w:rsid w:val="005D66E3"/>
    <w:rsid w:val="006523CE"/>
    <w:rsid w:val="0067518C"/>
    <w:rsid w:val="00677A9F"/>
    <w:rsid w:val="00680E5B"/>
    <w:rsid w:val="00686B78"/>
    <w:rsid w:val="006967F2"/>
    <w:rsid w:val="006A0243"/>
    <w:rsid w:val="006A43AA"/>
    <w:rsid w:val="006A551C"/>
    <w:rsid w:val="006B6AC3"/>
    <w:rsid w:val="006F26C5"/>
    <w:rsid w:val="006F74CA"/>
    <w:rsid w:val="00702499"/>
    <w:rsid w:val="00705512"/>
    <w:rsid w:val="0072131B"/>
    <w:rsid w:val="00734EC5"/>
    <w:rsid w:val="00746A08"/>
    <w:rsid w:val="00754E49"/>
    <w:rsid w:val="00782077"/>
    <w:rsid w:val="0078641B"/>
    <w:rsid w:val="00787AA0"/>
    <w:rsid w:val="007A19CA"/>
    <w:rsid w:val="007A5D6F"/>
    <w:rsid w:val="007A6258"/>
    <w:rsid w:val="007A6D85"/>
    <w:rsid w:val="007B0249"/>
    <w:rsid w:val="007B0F3A"/>
    <w:rsid w:val="007B5507"/>
    <w:rsid w:val="007C0A9C"/>
    <w:rsid w:val="007D58DA"/>
    <w:rsid w:val="007E4C8D"/>
    <w:rsid w:val="007E4FD1"/>
    <w:rsid w:val="008164BE"/>
    <w:rsid w:val="00830884"/>
    <w:rsid w:val="00835C9D"/>
    <w:rsid w:val="00846034"/>
    <w:rsid w:val="00890A0A"/>
    <w:rsid w:val="008B0687"/>
    <w:rsid w:val="008E1D6B"/>
    <w:rsid w:val="008E7D1C"/>
    <w:rsid w:val="00905556"/>
    <w:rsid w:val="0091431A"/>
    <w:rsid w:val="009305C2"/>
    <w:rsid w:val="00930F79"/>
    <w:rsid w:val="00932083"/>
    <w:rsid w:val="00933DF8"/>
    <w:rsid w:val="009444F4"/>
    <w:rsid w:val="00971655"/>
    <w:rsid w:val="00983B13"/>
    <w:rsid w:val="009949D7"/>
    <w:rsid w:val="009C0D21"/>
    <w:rsid w:val="009D4E7F"/>
    <w:rsid w:val="00A01070"/>
    <w:rsid w:val="00A11F6C"/>
    <w:rsid w:val="00A16DEE"/>
    <w:rsid w:val="00A20281"/>
    <w:rsid w:val="00A32142"/>
    <w:rsid w:val="00A51FBB"/>
    <w:rsid w:val="00A52B52"/>
    <w:rsid w:val="00A679BA"/>
    <w:rsid w:val="00A7043A"/>
    <w:rsid w:val="00A70832"/>
    <w:rsid w:val="00A7199C"/>
    <w:rsid w:val="00A74F3B"/>
    <w:rsid w:val="00A76591"/>
    <w:rsid w:val="00A81E60"/>
    <w:rsid w:val="00A923D8"/>
    <w:rsid w:val="00AA2B24"/>
    <w:rsid w:val="00AA4DA0"/>
    <w:rsid w:val="00AB6A0F"/>
    <w:rsid w:val="00AD7C1D"/>
    <w:rsid w:val="00AF0D6A"/>
    <w:rsid w:val="00AF7055"/>
    <w:rsid w:val="00B627DA"/>
    <w:rsid w:val="00B838F6"/>
    <w:rsid w:val="00B91417"/>
    <w:rsid w:val="00BB54EA"/>
    <w:rsid w:val="00BC5CD6"/>
    <w:rsid w:val="00BC65E5"/>
    <w:rsid w:val="00BD0ACC"/>
    <w:rsid w:val="00BE7A45"/>
    <w:rsid w:val="00BF584E"/>
    <w:rsid w:val="00C10AA9"/>
    <w:rsid w:val="00C17AED"/>
    <w:rsid w:val="00C17D52"/>
    <w:rsid w:val="00C21912"/>
    <w:rsid w:val="00C35C05"/>
    <w:rsid w:val="00C4308F"/>
    <w:rsid w:val="00C470CF"/>
    <w:rsid w:val="00C53010"/>
    <w:rsid w:val="00C55983"/>
    <w:rsid w:val="00C93E56"/>
    <w:rsid w:val="00C977C2"/>
    <w:rsid w:val="00CB45DB"/>
    <w:rsid w:val="00CC6DFE"/>
    <w:rsid w:val="00CF34C9"/>
    <w:rsid w:val="00D37A2F"/>
    <w:rsid w:val="00D429B2"/>
    <w:rsid w:val="00D4462F"/>
    <w:rsid w:val="00D50281"/>
    <w:rsid w:val="00D51A40"/>
    <w:rsid w:val="00D64F7E"/>
    <w:rsid w:val="00D725E4"/>
    <w:rsid w:val="00D73268"/>
    <w:rsid w:val="00D835D3"/>
    <w:rsid w:val="00D92AF9"/>
    <w:rsid w:val="00D95E7A"/>
    <w:rsid w:val="00D97FE5"/>
    <w:rsid w:val="00DA23D7"/>
    <w:rsid w:val="00DA6C93"/>
    <w:rsid w:val="00DB5087"/>
    <w:rsid w:val="00DB67AA"/>
    <w:rsid w:val="00DC1EA0"/>
    <w:rsid w:val="00DD7B3E"/>
    <w:rsid w:val="00DE017C"/>
    <w:rsid w:val="00DE19C1"/>
    <w:rsid w:val="00DE42EC"/>
    <w:rsid w:val="00DF294F"/>
    <w:rsid w:val="00DF7AA9"/>
    <w:rsid w:val="00E03F95"/>
    <w:rsid w:val="00E25081"/>
    <w:rsid w:val="00E44485"/>
    <w:rsid w:val="00E648FC"/>
    <w:rsid w:val="00E71965"/>
    <w:rsid w:val="00E94E5C"/>
    <w:rsid w:val="00E96998"/>
    <w:rsid w:val="00EB7C7B"/>
    <w:rsid w:val="00EC5882"/>
    <w:rsid w:val="00EC76ED"/>
    <w:rsid w:val="00EF2E11"/>
    <w:rsid w:val="00F036C4"/>
    <w:rsid w:val="00F30D18"/>
    <w:rsid w:val="00F42E2A"/>
    <w:rsid w:val="00F55610"/>
    <w:rsid w:val="00F86A19"/>
    <w:rsid w:val="00FA001C"/>
    <w:rsid w:val="00FA2912"/>
    <w:rsid w:val="00FB5DBC"/>
    <w:rsid w:val="00FE024B"/>
    <w:rsid w:val="00FE272E"/>
    <w:rsid w:val="00FE7695"/>
    <w:rsid w:val="033F24AE"/>
    <w:rsid w:val="0CD822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正文1"/>
    <w:basedOn w:val="1"/>
    <w:qFormat/>
    <w:uiPriority w:val="0"/>
    <w:pPr>
      <w:widowControl/>
    </w:pPr>
    <w:rPr>
      <w:rFonts w:eastAsia="Times New Roman"/>
      <w:kern w:val="0"/>
      <w:szCs w:val="20"/>
      <w:lang w:val="zh-CN"/>
    </w:rPr>
  </w:style>
  <w:style w:type="character" w:customStyle="1" w:styleId="10">
    <w:name w:val=" Char Char1"/>
    <w:basedOn w:val="7"/>
    <w:link w:val="4"/>
    <w:qFormat/>
    <w:uiPriority w:val="0"/>
    <w:rPr>
      <w:kern w:val="2"/>
      <w:sz w:val="18"/>
      <w:szCs w:val="18"/>
    </w:rPr>
  </w:style>
  <w:style w:type="character" w:customStyle="1" w:styleId="11">
    <w:name w:val=" Char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20</Pages>
  <Words>8648</Words>
  <Characters>11350</Characters>
  <Lines>101</Lines>
  <Paragraphs>28</Paragraphs>
  <TotalTime>0</TotalTime>
  <ScaleCrop>false</ScaleCrop>
  <LinksUpToDate>false</LinksUpToDate>
  <CharactersWithSpaces>11893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2016-05-24T03:06:00Z</dcterms:created>
  <dc:creator>lenovo</dc:creator>
  <cp:lastModifiedBy>吴一杰</cp:lastModifiedBy>
  <cp:lastPrinted>2017-10-25T01:16:00Z</cp:lastPrinted>
  <dcterms:modified xsi:type="dcterms:W3CDTF">2023-03-10T01:53:23Z</dcterms:modified>
  <dc:title>XXX 2012年度部门决算</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3FBDCDFCA270409EB7CDBDD0FC12FEC3</vt:lpwstr>
  </property>
</Properties>
</file>