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bookmarkStart w:id="12" w:name="_GoBack"/>
      <w:bookmarkEnd w:id="12"/>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大众街街道履行职责事项清单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pPr>
        <w:pStyle w:val="2"/>
        <w:rPr>
          <w:lang w:eastAsia="zh-CN"/>
        </w:rPr>
      </w:pPr>
    </w:p>
    <w:p>
      <w:pPr>
        <w:kinsoku/>
        <w:autoSpaceDE/>
        <w:autoSpaceDN/>
        <w:adjustRightInd/>
        <w:snapToGrid/>
        <w:textAlignment w:val="auto"/>
        <w:rPr>
          <w:rFonts w:eastAsiaTheme="minorEastAsia"/>
          <w:b/>
          <w:sz w:val="32"/>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ascii="Times New Roman" w:hAnsi="Times New Roman"/>
          <w:lang w:val="en-US" w:eastAsia="zh-CN"/>
        </w:rPr>
        <w:t>1</w:t>
      </w:r>
      <w:r>
        <w:rPr>
          <w:rFonts w:hint="eastAsia"/>
          <w:lang w:val="en-US" w:eastAsia="zh-CN"/>
        </w:rPr>
        <w:t>.</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rPr>
          <w:rFonts w:ascii="Times New Roman" w:hAnsi="Times New Roman"/>
        </w:rPr>
        <w:t>1</w:t>
      </w:r>
      <w:r>
        <w:fldChar w:fldCharType="end"/>
      </w:r>
      <w:r>
        <w:fldChar w:fldCharType="end"/>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ascii="Times New Roman" w:hAnsi="Times New Roman"/>
          <w:lang w:val="en-US" w:eastAsia="zh-CN"/>
        </w:rPr>
        <w:t>2</w:t>
      </w:r>
      <w:r>
        <w:rPr>
          <w:rFonts w:hint="eastAsia"/>
          <w:lang w:val="en-US" w:eastAsia="zh-CN"/>
        </w:rPr>
        <w:t>.</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ascii="Times New Roman" w:hAnsi="Times New Roman"/>
          <w:lang w:val="en-US" w:eastAsia="zh-CN"/>
        </w:rPr>
        <w:t>9</w:t>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ascii="Times New Roman" w:hAnsi="Times New Roman"/>
          <w:lang w:val="en-US" w:eastAsia="zh-CN"/>
        </w:rPr>
        <w:t>3</w:t>
      </w:r>
      <w:r>
        <w:rPr>
          <w:rFonts w:hint="eastAsia"/>
          <w:lang w:val="en-US" w:eastAsia="zh-CN"/>
        </w:rPr>
        <w:t>.</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w:t>
      </w:r>
      <w:r>
        <w:fldChar w:fldCharType="end"/>
      </w:r>
      <w:r>
        <w:rPr>
          <w:rFonts w:hint="eastAsia"/>
          <w:lang w:val="en-US" w:eastAsia="zh-CN"/>
        </w:rPr>
        <w:t>6</w:t>
      </w:r>
    </w:p>
    <w:p>
      <w:r>
        <w:rPr>
          <w:b/>
          <w:bCs/>
          <w:lang w:val="zh-CN"/>
        </w:rPr>
        <w:fldChar w:fldCharType="end"/>
      </w:r>
      <w:sdt>
        <w:sdtPr>
          <w:rPr>
            <w:rFonts w:ascii="Arial" w:hAnsi="Arial" w:eastAsia="Arial" w:cs="Arial"/>
            <w:snapToGrid w:val="0"/>
            <w:color w:val="000000"/>
            <w:sz w:val="21"/>
            <w:szCs w:val="21"/>
            <w:lang w:val="zh-CN" w:eastAsia="en-US"/>
          </w:rPr>
          <w:id w:val="147459455"/>
        </w:sdtPr>
        <w:sdtEndPr>
          <w:rPr>
            <w:rFonts w:ascii="Arial" w:hAnsi="Arial" w:eastAsia="Arial" w:cs="Arial"/>
            <w:b/>
            <w:bCs/>
            <w:snapToGrid w:val="0"/>
            <w:color w:val="000000"/>
            <w:sz w:val="21"/>
            <w:szCs w:val="21"/>
            <w:lang w:val="zh-CN" w:eastAsia="en-US"/>
          </w:rPr>
        </w:sdtEndPr>
        <w:sdtContent/>
      </w:sdt>
    </w:p>
    <w:p>
      <w:pPr>
        <w:pStyle w:val="2"/>
        <w:jc w:val="both"/>
        <w:rPr>
          <w:rFonts w:ascii="Times New Roman" w:hAnsi="Times New Roman" w:eastAsia="方正小标宋_GBK" w:cs="Times New Roman"/>
          <w:color w:val="auto"/>
          <w:spacing w:val="7"/>
          <w:sz w:val="44"/>
          <w:szCs w:val="44"/>
          <w:lang w:eastAsia="zh-CN"/>
        </w:rPr>
      </w:pPr>
    </w:p>
    <w:sdt>
      <w:sdtPr>
        <w:rPr>
          <w:rFonts w:ascii="Arial" w:hAnsi="Arial" w:eastAsia="Arial" w:cs="Arial"/>
          <w:snapToGrid w:val="0"/>
          <w:color w:val="000000"/>
          <w:sz w:val="21"/>
          <w:szCs w:val="21"/>
          <w:lang w:val="zh-CN" w:eastAsia="en-US"/>
        </w:rPr>
        <w:id w:val="-1"/>
      </w:sdtPr>
      <w:sdtEndPr>
        <w:rPr>
          <w:rFonts w:ascii="Arial" w:hAnsi="Arial" w:eastAsia="Arial" w:cs="Arial"/>
          <w:b/>
          <w:bCs/>
          <w:snapToGrid w:val="0"/>
          <w:color w:val="000000"/>
          <w:sz w:val="21"/>
          <w:szCs w:val="21"/>
          <w:lang w:val="zh-CN" w:eastAsia="en-US"/>
        </w:rPr>
      </w:sdtEndPr>
      <w:sdtContent>
        <w:p/>
      </w:sdtContent>
    </w:sdt>
    <w:p>
      <w:pPr>
        <w:pStyle w:val="2"/>
        <w:jc w:val="both"/>
        <w:rPr>
          <w:rFonts w:ascii="Times New Roman" w:hAnsi="Times New Roman" w:eastAsia="方正小标宋_GBK" w:cs="Times New Roman"/>
          <w:color w:val="auto"/>
          <w:spacing w:val="7"/>
          <w:sz w:val="44"/>
          <w:szCs w:val="44"/>
          <w:lang w:eastAsia="zh-CN"/>
        </w:rPr>
      </w:pPr>
    </w:p>
    <w:p>
      <w:pPr>
        <w:rPr>
          <w:rStyle w:val="13"/>
          <w:rFonts w:ascii="Times New Roman" w:hAnsi="Times New Roman" w:eastAsia="方正公文小标宋" w:cs="Times New Roman"/>
          <w:color w:val="auto"/>
          <w:sz w:val="32"/>
          <w:u w:val="none"/>
          <w:lang w:eastAsia="zh-CN"/>
        </w:rPr>
      </w:pPr>
    </w:p>
    <w:p>
      <w:pPr>
        <w:rPr>
          <w:rStyle w:val="13"/>
          <w:rFonts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6767293"/>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1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71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切实履行基层党建工作职责，强化街道党工委自身建设以及村（社区）党组织建设，开展所属基层党组织成立、调整、撤销、换届以及整顿软弱涣散党组织等工作，做好党组织书记述职评议工作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1226"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村和社区党组织在发现问题中扛牢责任发挥作用的“十条措施”工作</w:t>
            </w:r>
          </w:p>
        </w:tc>
      </w:tr>
      <w:tr>
        <w:tblPrEx>
          <w:tblCellMar>
            <w:top w:w="0" w:type="dxa"/>
            <w:left w:w="108" w:type="dxa"/>
            <w:bottom w:w="0" w:type="dxa"/>
            <w:right w:w="108" w:type="dxa"/>
          </w:tblCellMar>
        </w:tblPrEx>
        <w:trPr>
          <w:cantSplit/>
          <w:trHeight w:val="72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深化城市基层党建“四级联动”体系建设，开展党员“双进双联四服务”“党员入格 一网兜底”工作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强化困难党员帮扶与权利保障，做好劳动模范和一线优秀职工疗养实训推荐工作，开展“寻找榜样”宣传活动</w:t>
            </w:r>
          </w:p>
        </w:tc>
      </w:tr>
      <w:tr>
        <w:tblPrEx>
          <w:tblCellMar>
            <w:top w:w="0" w:type="dxa"/>
            <w:left w:w="108" w:type="dxa"/>
            <w:bottom w:w="0" w:type="dxa"/>
            <w:right w:w="108" w:type="dxa"/>
          </w:tblCellMar>
        </w:tblPrEx>
        <w:trPr>
          <w:cantSplit/>
          <w:trHeight w:val="679"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街道和村（社区）干部的教育、培养、选拔、考核、监督和评优评先推荐上报，加强驻村第一书记和工作队日常管理，推荐优秀村（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87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村（社区）干部薪资待遇，落实村级组织办公、服务群众专项经费、党建工作经费、服务设施和信息化建设经费，建好管好用好村（社区）组织活动阵地，组织开展村（社区）“两委”运行及成员履职考核，依规落实绩效奖励</w:t>
            </w:r>
          </w:p>
        </w:tc>
      </w:tr>
      <w:tr>
        <w:tblPrEx>
          <w:tblCellMar>
            <w:top w:w="0" w:type="dxa"/>
            <w:left w:w="108" w:type="dxa"/>
            <w:bottom w:w="0" w:type="dxa"/>
            <w:right w:w="108" w:type="dxa"/>
          </w:tblCellMar>
        </w:tblPrEx>
        <w:trPr>
          <w:cantSplit/>
          <w:trHeight w:val="71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加强党建引领基层治理和基层政权建设，监督指导村（社区）党组织、村（居）民委员会、监督委员会规范化运行，指导换届选举及补（改）选工作，保障依法自治，加强社会工作者、志愿者队伍建设和管理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开展“两企三新”党组织建设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落实党建引领“有诉必应马上办”创新机制，推进社区物业党建联建工作</w:t>
            </w:r>
          </w:p>
        </w:tc>
      </w:tr>
      <w:tr>
        <w:tblPrEx>
          <w:tblCellMar>
            <w:top w:w="0" w:type="dxa"/>
            <w:left w:w="108" w:type="dxa"/>
            <w:bottom w:w="0" w:type="dxa"/>
            <w:right w:w="108" w:type="dxa"/>
          </w:tblCellMar>
        </w:tblPrEx>
        <w:trPr>
          <w:cantSplit/>
          <w:trHeight w:val="101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67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86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65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67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0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构建“邻里互助 和美共建”区域化大党建工作体系</w:t>
            </w:r>
          </w:p>
        </w:tc>
      </w:tr>
      <w:tr>
        <w:tblPrEx>
          <w:tblCellMar>
            <w:top w:w="0" w:type="dxa"/>
            <w:left w:w="108" w:type="dxa"/>
            <w:bottom w:w="0" w:type="dxa"/>
            <w:right w:w="108" w:type="dxa"/>
          </w:tblCellMar>
        </w:tblPrEx>
        <w:trPr>
          <w:cantSplit/>
          <w:trHeight w:val="62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打造“共富工坊”，挖掘拥军巷红色基因</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4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做好上级生态环保督查反馈问题整改工作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落实林（草）长制工作责任，宣传法律法规，加强巡林护林，制止并上报破坏林业资源的行为，指导监督村林草长履行职责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开展国土绿化工作，做好荒山造林、退化林改造和林木抚育等工作，巩固退耕还林成果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做好对护林员、河湖巡查员等的日常管理，负责聘用人员的组织、管理、培训、监督和考核等工作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3</w:t>
            </w:r>
            <w:r>
              <w:rPr>
                <w:rFonts w:hint="eastAsia" w:ascii="Times New Roman" w:hAnsi="Times New Roman" w:eastAsia="宋体" w:cs="Times New Roman"/>
                <w:i w:val="0"/>
                <w:snapToGrid w:val="0"/>
                <w:color w:val="000000"/>
                <w:kern w:val="0"/>
                <w:sz w:val="20"/>
                <w:szCs w:val="20"/>
                <w:u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default" w:ascii="Times New Roman" w:hAnsi="Times New Roman" w:eastAsia="方正公文黑体"/>
                <w:color w:val="auto"/>
                <w:lang w:val="en"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19</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3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规范化建设便民服务中心、村（社区）便民服务站，设立便民服务窗口，做好</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一站式</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政务服务便民帮办代办工作</w:t>
            </w:r>
          </w:p>
        </w:tc>
      </w:tr>
      <w:tr>
        <w:tblPrEx>
          <w:tblCellMar>
            <w:top w:w="0" w:type="dxa"/>
            <w:left w:w="108" w:type="dxa"/>
            <w:bottom w:w="0" w:type="dxa"/>
            <w:right w:w="108" w:type="dxa"/>
          </w:tblCellMar>
        </w:tblPrEx>
        <w:trPr>
          <w:cantSplit/>
          <w:trHeight w:val="76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保障老年人权益，开展独居、空巢、失能、留守老年人，重残特殊家庭老年人信息统计和关心关爱、设施设备改造工作</w:t>
            </w:r>
          </w:p>
        </w:tc>
      </w:tr>
      <w:tr>
        <w:tblPrEx>
          <w:tblCellMar>
            <w:top w:w="0" w:type="dxa"/>
            <w:left w:w="108" w:type="dxa"/>
            <w:bottom w:w="0" w:type="dxa"/>
            <w:right w:w="108" w:type="dxa"/>
          </w:tblCellMar>
        </w:tblPrEx>
        <w:trPr>
          <w:cantSplit/>
          <w:trHeight w:val="73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73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开展失地农民的创业就业、社会保障、子女教育等服务工作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73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71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87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扩围增效</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做好园山公墓的管理服务工作</w:t>
            </w:r>
          </w:p>
        </w:tc>
      </w:tr>
      <w:tr>
        <w:tblPrEx>
          <w:tblCellMar>
            <w:top w:w="0" w:type="dxa"/>
            <w:left w:w="108" w:type="dxa"/>
            <w:bottom w:w="0" w:type="dxa"/>
            <w:right w:w="108" w:type="dxa"/>
          </w:tblCellMar>
        </w:tblPrEx>
        <w:trPr>
          <w:cantSplit/>
          <w:trHeight w:val="539"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Style w:val="18"/>
                <w:rFonts w:hint="default" w:hAnsi="方正公文黑体" w:eastAsia="方正公文黑体"/>
                <w:color w:val="auto"/>
                <w:lang w:val="en-US" w:eastAsia="zh-CN" w:bidi="ar"/>
              </w:rPr>
            </w:pPr>
            <w:r>
              <w:rPr>
                <w:rStyle w:val="18"/>
                <w:rFonts w:hint="eastAsia" w:hAnsi="方正公文黑体" w:eastAsia="方正公文黑体"/>
                <w:color w:val="auto"/>
                <w:lang w:val="en-US" w:eastAsia="zh-CN" w:bidi="ar"/>
              </w:rPr>
              <w:t>六、经济发展（</w:t>
            </w:r>
            <w:r>
              <w:rPr>
                <w:rStyle w:val="18"/>
                <w:rFonts w:hint="eastAsia" w:ascii="Times New Roman" w:hAnsi="Times New Roman" w:eastAsia="方正公文黑体"/>
                <w:color w:val="auto"/>
                <w:lang w:val="en-US" w:eastAsia="zh-CN" w:bidi="ar"/>
              </w:rPr>
              <w:t>6</w:t>
            </w:r>
            <w:r>
              <w:rPr>
                <w:rStyle w:val="18"/>
                <w:rFonts w:hint="eastAsia" w:hAnsi="方正公文黑体" w:eastAsia="方正公文黑体"/>
                <w:color w:val="auto"/>
                <w:lang w:val="en-US" w:eastAsia="zh-CN" w:bidi="ar"/>
              </w:rPr>
              <w:t>项）</w:t>
            </w:r>
          </w:p>
        </w:tc>
      </w:tr>
      <w:tr>
        <w:tblPrEx>
          <w:tblCellMar>
            <w:top w:w="0" w:type="dxa"/>
            <w:left w:w="108" w:type="dxa"/>
            <w:bottom w:w="0" w:type="dxa"/>
            <w:right w:w="108" w:type="dxa"/>
          </w:tblCellMar>
        </w:tblPrEx>
        <w:trPr>
          <w:cantSplit/>
          <w:trHeight w:val="63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五年规划</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开展以工代赈项目全过程管理工作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组织实施人口普查、经济普查、农业普查、人口变动抽样调查、劳动力抽样调查，做好本地经济运行数据监测、上报等工作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负责各类农业合作社规范化建设，做好村集体经济运行、村集体</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三资</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监管，落实村集体财务管理制度，强化债务风险防控工作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落实乡村振兴责任，巩固拓展脱贫攻坚成果，开展防止返贫动态监测，落实各项惠农政策及帮扶措施，负责乡村振兴反馈问题整改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做好乡村振兴衔接资金项目谋划、储备、申报、入库、实施、监督管理工作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负责农村土地承包管理，做好农村基本情况摸查，土地流转情况统计、问题排查及土地承包纠纷调解等工作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发展壮大村集体经济，促进农民增收，规范村集体经济组织运营，做好村集体经济收益分配管理工作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做好区域内村庄规划编制和组织实施工作，开展村庄建设统计调查</w:t>
            </w:r>
          </w:p>
        </w:tc>
      </w:tr>
      <w:tr>
        <w:tblPrEx>
          <w:tblCellMar>
            <w:top w:w="0" w:type="dxa"/>
            <w:left w:w="108" w:type="dxa"/>
            <w:bottom w:w="0" w:type="dxa"/>
            <w:right w:w="108" w:type="dxa"/>
          </w:tblCellMar>
        </w:tblPrEx>
        <w:trPr>
          <w:cantSplit/>
          <w:trHeight w:val="66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开展农村人居环境整治工作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洁净</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城市环境卫生综合整治提升行动，排查上报违法建设和小区内</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僵尸车辆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开展背街小巷、村道公共基础设施管理和维护工作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开展农村宅基地申请受理、审批工作，做好宅基地建设、使用监管工作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农家书屋</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落实政务公开制度，做好政务公开工作，指导开展村（居）务公开工作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建立和完善街道机关单位内部控制制度，开展执行情况监督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w:t>
            </w:r>
            <w:r>
              <w:rPr>
                <w:rFonts w:hint="default" w:ascii="Times New Roman" w:hAnsi="Times New Roman" w:eastAsia="方正公文仿宋"/>
                <w:lang w:val="en-US" w:eastAsia="zh-CN" w:bidi="ar"/>
              </w:rPr>
              <w:t>24</w:t>
            </w:r>
            <w:r>
              <w:rPr>
                <w:rFonts w:hint="eastAsia" w:ascii="方正公文仿宋" w:hAnsi="Times New Roman" w:eastAsia="方正公文仿宋"/>
                <w:lang w:val="en-US" w:eastAsia="zh-CN" w:bidi="ar"/>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w:t>
            </w:r>
            <w:r>
              <w:rPr>
                <w:rFonts w:hint="default" w:ascii="Times New Roman" w:hAnsi="Times New Roman" w:eastAsia="方正公文仿宋"/>
                <w:lang w:val="en-US" w:eastAsia="zh-CN" w:bidi="ar"/>
              </w:rPr>
              <w:t>12345</w:t>
            </w:r>
            <w:r>
              <w:rPr>
                <w:rFonts w:hint="eastAsia" w:ascii="方正公文仿宋" w:hAnsi="Times New Roman" w:eastAsia="方正公文仿宋"/>
                <w:lang w:val="en-US" w:eastAsia="zh-CN" w:bidi="ar"/>
              </w:rPr>
              <w:t>热线相关联动机制，负责</w:t>
            </w:r>
            <w:r>
              <w:rPr>
                <w:rFonts w:hint="default" w:ascii="Times New Roman" w:hAnsi="Times New Roman" w:eastAsia="方正公文仿宋"/>
                <w:lang w:val="en-US" w:eastAsia="zh-CN" w:bidi="ar"/>
              </w:rPr>
              <w:t>12345</w:t>
            </w:r>
            <w:r>
              <w:rPr>
                <w:rFonts w:hint="eastAsia" w:ascii="方正公文仿宋" w:hAnsi="Times New Roman" w:eastAsia="方正公文仿宋"/>
                <w:lang w:val="en-US" w:eastAsia="zh-CN" w:bidi="ar"/>
              </w:rPr>
              <w:t>热线转办事项的承接、办理、反馈，开展</w:t>
            </w:r>
            <w:r>
              <w:rPr>
                <w:rFonts w:hint="default" w:ascii="方正公文仿宋" w:hAnsi="Times New Roman" w:eastAsia="方正公文仿宋"/>
                <w:lang w:val="en-US" w:eastAsia="zh-CN" w:bidi="ar"/>
              </w:rPr>
              <w:t>“</w:t>
            </w:r>
            <w:r>
              <w:rPr>
                <w:rFonts w:hint="default" w:ascii="Times New Roman" w:hAnsi="Times New Roman" w:eastAsia="方正公文仿宋"/>
                <w:lang w:val="en-US" w:eastAsia="zh-CN" w:bidi="ar"/>
              </w:rPr>
              <w:t>710</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等各类督办件的办理回复工作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676729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2"/>
        <w:gridCol w:w="4806"/>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w:t>
            </w:r>
            <w:r>
              <w:rPr>
                <w:rStyle w:val="18"/>
                <w:rFonts w:hint="eastAsia" w:ascii="Times New Roman" w:hAnsi="Times New Roman" w:eastAsia="方正公文黑体"/>
                <w:color w:val="auto"/>
                <w:lang w:val="en-US" w:eastAsia="zh-CN" w:bidi="ar"/>
              </w:rPr>
              <w:t>1</w:t>
            </w:r>
            <w:r>
              <w:rPr>
                <w:rStyle w:val="18"/>
                <w:rFonts w:hint="default" w:ascii="Times New Roman" w:hAnsi="Times New Roman" w:eastAsia="方正公文黑体"/>
                <w:color w:val="auto"/>
                <w:lang w:val="en"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68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落实党建“双帮”制度、推动村（社区）党组织书记能上能下、开展干部政治素质专项考核、“两委”考核工作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.下发通知、明确要求、综合考察、全面评估、决策调整、跟踪管理；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.区委组织部调整各党组织联点领导、党建指导员及工作人员，督导联点人员作用发挥情况。</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.全面排查摸底辖区党组织建设情况，落实党建“双帮”制度；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.综合运用多种评估方法，包括个别谈话、实地考察等，对村（社区）党组织书记相关人员进行全方位评估；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.明确联点领导、党建指导员、工作人员职责任务，并按要求落实；</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.组织联点领导、党建指导员、工作人员参加专题培训，确保联点人员掌握最新工作要求，完成联点任务；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.开展干部政治素质专项考核工作；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.开展村（社区）“两委”考核工作。</w:t>
            </w:r>
          </w:p>
        </w:tc>
      </w:tr>
      <w:tr>
        <w:tblPrEx>
          <w:tblCellMar>
            <w:top w:w="0" w:type="dxa"/>
            <w:left w:w="108" w:type="dxa"/>
            <w:bottom w:w="0" w:type="dxa"/>
            <w:right w:w="108" w:type="dxa"/>
          </w:tblCellMar>
        </w:tblPrEx>
        <w:trPr>
          <w:cantSplit/>
          <w:trHeight w:val="35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开展“导师制师带徒”、干部墩苗历练、干部交流轮岗、社区“两委”委员交叉挂职社区党组织副书记，推行“穿警服的村（社区）党组织副书记”工作，村（社区）干部“履职体检”工作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.研究制定工作计划；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.确定新考录公务员、选调生、事业单位工作人员、社区“两委”班子交叉挂职人员；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.分批选派到镇（街道）、村（社区）基层一线或区直部门开展历练、挂职工作；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.开展村（社区）干部“履职体检”工作，做好督导工作；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.推行“穿警服的村（社区）党组织副书记”工作；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.做好总结交流工作。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.做好有关人员上报推荐工作；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.接收分派到本单位的新考录公务员、选调生、事业单位工作人员，根据区级“墩苗”历练计划和岗位需求，确定接收人员的具体岗位和工作安排；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.做好有关人员日常管理工作；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.聚焦村（社区）“两委”班子思想作风、能力素质、观念意识等内容开展履职体检。</w:t>
            </w:r>
          </w:p>
        </w:tc>
      </w:tr>
      <w:tr>
        <w:tblPrEx>
          <w:tblCellMar>
            <w:top w:w="0" w:type="dxa"/>
            <w:left w:w="108" w:type="dxa"/>
            <w:bottom w:w="0" w:type="dxa"/>
            <w:right w:w="108" w:type="dxa"/>
          </w:tblCellMar>
        </w:tblPrEx>
        <w:trPr>
          <w:cantSplit/>
          <w:trHeight w:val="898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区人大常委会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区委统一战线工作部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区政协</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区总工会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团区委</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.统筹党代表推荐、选举工作，确定党代表名额，并报区委研究；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.向基层党委分配党代会代表名额；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.指导各基层党委推荐选举党代表；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.选举出席上级党代表大会的代表；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.负责政协中共委员人选提名工作,审核初步人选资格，建议名单报区委审定。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区人大常委会：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.做好选区划分和选民登记工作；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.提名初步候选人，确定正式候选人并进行公示；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.组织选区选民进行代表选举工作；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.选举出席上级人代会的代表。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区委统战部：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.提名区级政协委员党外人选；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.对推荐人选进行考察和审核；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.汇总建议名单并征求有关方面意见。</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区政协：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.牵头组织政协委员人选推荐工作，会同组织、统战部门拟定委员初步人选；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.汇总委员初步人选名单并征求纪委、组织、公安、信访等部门的意见，上报区委审定；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.审核委员初步人选资格,并按程序提交会议审议（选举）。</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区总工会、共青团区委、区妇女联合会: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.组织开展各级工会、团委、妇联代表推荐选举工作，研究确定名额；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.向基层工会、团委、妇联分配代表名额；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.指导基层推荐选举工会、团委、妇联代表，选举出席上级会议的代表。</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.做好选民登记，确定初步候选人；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.根据分配名额，按照规定和程序选举出区级党代表、人大代表；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.配合做好区级政协委员推荐工作；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.按程序推荐区级以上党代表候选人；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235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.做好党建经费和服务群众专项经费预算工作，做好资金拨付工作；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.指导各党组织合理安排和使用党建经费以及服务群众专项经费；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.监督检查资金使用情况，确保运转正常、支出规范。</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.召开党工委会议，研究决定经费、资金支出；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.做好所辖各党组织党建经费和服务群众专项经费的日常使用和监督工作；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.做好公示公开工作。</w:t>
            </w:r>
          </w:p>
        </w:tc>
      </w:tr>
      <w:tr>
        <w:tblPrEx>
          <w:tblCellMar>
            <w:top w:w="0" w:type="dxa"/>
            <w:left w:w="108" w:type="dxa"/>
            <w:bottom w:w="0" w:type="dxa"/>
            <w:right w:w="108" w:type="dxa"/>
          </w:tblCellMar>
        </w:tblPrEx>
        <w:trPr>
          <w:cantSplit/>
          <w:trHeight w:val="226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.制定关怀帮扶表彰激励工作方案，确定名额；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.组织开展区级“两优一先”等党内关怀帮扶表彰奖励和区级以上对象推荐工作；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.发放“光荣在党</w:t>
            </w:r>
            <w:r>
              <w:rPr>
                <w:rFonts w:hint="eastAsia" w:ascii="Times New Roman" w:hAnsi="Times New Roman" w:eastAsia="方正公文仿宋"/>
                <w:color w:val="auto"/>
                <w:lang w:val="en-US" w:eastAsia="zh-CN" w:bidi="ar"/>
              </w:rPr>
              <w:t>50</w:t>
            </w:r>
            <w:r>
              <w:rPr>
                <w:rFonts w:hint="eastAsia" w:ascii="方正公文仿宋" w:hAnsi="Times New Roman" w:eastAsia="方正公文仿宋"/>
                <w:color w:val="auto"/>
                <w:lang w:val="en-US" w:eastAsia="zh-CN" w:bidi="ar"/>
              </w:rPr>
              <w:t>年”纪念章；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.发放慰问品或慰问金；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.宣传先进典型。</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.研究上报推荐区级（含）以上“两优一先”等关怀帮扶表彰奖励对象名单；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.摸排上报“光荣在党</w:t>
            </w:r>
            <w:r>
              <w:rPr>
                <w:rFonts w:hint="eastAsia" w:ascii="Times New Roman" w:hAnsi="Times New Roman" w:eastAsia="方正公文仿宋"/>
                <w:color w:val="auto"/>
                <w:lang w:val="en-US" w:eastAsia="zh-CN" w:bidi="ar"/>
              </w:rPr>
              <w:t>50</w:t>
            </w:r>
            <w:r>
              <w:rPr>
                <w:rFonts w:hint="eastAsia" w:ascii="方正公文仿宋" w:hAnsi="Times New Roman" w:eastAsia="方正公文仿宋"/>
                <w:color w:val="auto"/>
                <w:lang w:val="en-US" w:eastAsia="zh-CN" w:bidi="ar"/>
              </w:rPr>
              <w:t>年”纪念章符合人选名单，按职责分工做好纪念勋章发放工作；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.按职责分工做好慰问品或慰问金发放工作。</w:t>
            </w:r>
          </w:p>
        </w:tc>
      </w:tr>
      <w:tr>
        <w:tblPrEx>
          <w:tblCellMar>
            <w:top w:w="0" w:type="dxa"/>
            <w:left w:w="108" w:type="dxa"/>
            <w:bottom w:w="0" w:type="dxa"/>
            <w:right w:w="108" w:type="dxa"/>
          </w:tblCellMar>
        </w:tblPrEx>
        <w:trPr>
          <w:cantSplit/>
          <w:trHeight w:val="212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做好农村老党员、老干部生活补助审核发放工作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.新增人员审核；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.已享受生活补贴审核；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.已故人员审核；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.确定补助对象；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.发放补助款。</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.新增人员核查、上报；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.已享受生活补贴核实、上报；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.已故人员上报；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.核查上报补助对象名单；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.按职责分工做好补助款发放工作。</w:t>
            </w:r>
          </w:p>
        </w:tc>
      </w:tr>
      <w:tr>
        <w:tblPrEx>
          <w:tblCellMar>
            <w:top w:w="0" w:type="dxa"/>
            <w:left w:w="108" w:type="dxa"/>
            <w:bottom w:w="0" w:type="dxa"/>
            <w:right w:w="108" w:type="dxa"/>
          </w:tblCellMar>
        </w:tblPrEx>
        <w:trPr>
          <w:cantSplit/>
          <w:trHeight w:val="22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健全新时代志愿服务体系，强化志愿服务效能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.完善志愿服务体系建设，优化管理制度；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.制定全区志愿服务工作方案；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.统筹协调开展志愿服务工作；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.督促检查镇（街道）志愿服务工作开展情况。</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.组建志愿服务队；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.依托新时代文明实践所（站）等载体，有组织、有针对性地开展志愿服务。</w:t>
            </w:r>
          </w:p>
        </w:tc>
      </w:tr>
      <w:tr>
        <w:tblPrEx>
          <w:tblCellMar>
            <w:top w:w="0" w:type="dxa"/>
            <w:left w:w="108" w:type="dxa"/>
            <w:bottom w:w="0" w:type="dxa"/>
            <w:right w:w="108" w:type="dxa"/>
          </w:tblCellMar>
        </w:tblPrEx>
        <w:trPr>
          <w:cantSplit/>
          <w:trHeight w:val="473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巩固提升文明城市创建成果，选树各级各类先进典型工作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区委宣传部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区委宣传部：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.开展巩固提升文明城市创建成果各项工作，指导各单位落实创建任务；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.对创建工作进行检查督促，下发问题整改通知；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.制定巩固提升创建文明城市成果计划、宣传方案等，按照测评体系标准整理档案资料，总结当年创建成效；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.组织开展各级文明单位、先进个人和道德模范、西宁好人、青海好人、寻找榜样等审核申报工作。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区委政法委员会：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.负责审批确认见义勇为行为和人员；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.如确认，向见义勇为行为人颁发证书。如不予确认，做好说明工作；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.做好见义勇为人员的奖励工作。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.按照测评指标，做好巩固提升文明城市创建成果各项工作；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.开展文明城市创建宣传和引导；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.做好创建各类资料的收集、整理和上报工作；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.做好检查发现问题的整改工作，上报整改情况；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.做好各级文明单位、先进个人和道德模范、西宁好人、青海好人、寻找榜样等资料的收集、整理和上报工作；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.开展见义勇为申报工作；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.开展各类典型公示工作。</w:t>
            </w:r>
          </w:p>
        </w:tc>
      </w:tr>
      <w:tr>
        <w:tblPrEx>
          <w:tblCellMar>
            <w:top w:w="0" w:type="dxa"/>
            <w:left w:w="108" w:type="dxa"/>
            <w:bottom w:w="0" w:type="dxa"/>
            <w:right w:w="108" w:type="dxa"/>
          </w:tblCellMar>
        </w:tblPrEx>
        <w:trPr>
          <w:cantSplit/>
          <w:trHeight w:val="24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开展“三项计划”“三支一扶”、大学生寒暑期“返家乡”志愿服务工作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共青团区委</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b/>
                <w:bCs/>
                <w:color w:val="auto"/>
                <w:lang w:val="en-US" w:eastAsia="zh-CN" w:bidi="ar"/>
              </w:rPr>
              <w:t>共青团区委、区人力资源和社会保障局：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.做好“三项计划”和“三支一扶”人员分配；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.与志愿者、服务人员签订服务合同；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.组织开展大学生寒暑期“返家乡”志愿服务活动；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.按时发放津贴，做好社会保险代扣和代缴工作。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.报送高校毕业生“三项计划”和“三支一扶”岗位需求；</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.做好人员日常管理及年度、期满考核工作；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.对接村（社区）大学生寒暑期“返家乡”开展志愿服务活动。</w:t>
            </w:r>
          </w:p>
        </w:tc>
      </w:tr>
      <w:tr>
        <w:tblPrEx>
          <w:tblCellMar>
            <w:top w:w="0" w:type="dxa"/>
            <w:left w:w="108" w:type="dxa"/>
            <w:bottom w:w="0" w:type="dxa"/>
            <w:right w:w="108" w:type="dxa"/>
          </w:tblCellMar>
        </w:tblPrEx>
        <w:trPr>
          <w:cantSplit/>
          <w:trHeight w:val="177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开展困难职工认定帮扶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.负责困难职工审批认定工作；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.负责帮扶资金发放工作。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.开展困难职工初审工作，报区总工会审批；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.做好帮扶职工公示工作。</w:t>
            </w:r>
          </w:p>
        </w:tc>
      </w:tr>
      <w:tr>
        <w:tblPrEx>
          <w:tblCellMar>
            <w:top w:w="0" w:type="dxa"/>
            <w:left w:w="108" w:type="dxa"/>
            <w:bottom w:w="0" w:type="dxa"/>
            <w:right w:w="108" w:type="dxa"/>
          </w:tblCellMar>
        </w:tblPrEx>
        <w:trPr>
          <w:cantSplit/>
          <w:trHeight w:val="519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做好对上级部门派驻街道机构及人员的管理工作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.建立健全区直派驻镇（街道）机构人员管理的制度机制；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.指导区直部门和镇（街道）开展日常和年度考核工作；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.加强对派驻机构中区管科级领导干部的考核、评价。</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指导区直部门和镇（街道）开展派驻机构和人员的日常管理和考核工作。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区直派出部门：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.负责对派驻机构工作人员进行统筹调配和业务指导管理；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.负责做好派驻机构的人事管理工作，对派驻机构负责人的配备调整、干部交流提出建议，充分征求所在镇（街道）意见；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.对派驻机构履行法定职责情况进行考核，考核结果反馈镇（街道），上报组织人社部门备案。</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.加强对派驻机构工作人员的统一指挥协调，负责派驻机构工作人员的学习、考勤等日常管理，及时向区直派出部门反馈相关情况；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.对派驻机构负责人的配备调整、干部交流提出意见；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.协助做好派驻机构及人员履职情况考核和群众满意度测评。</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32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开展水资源保护工作，做好取用地下水行为的监督检查，制止和查处有关违法违规行为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.制定下发全区水资源保护工作方案，负责本行政区域取用地下水的监督管理；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.负责水资源保护工作，开展地下水取水户日常检查，发现违法违规取地下水行为，责令停止违法行为，进行调查取证，将线索移交至市级生态环境综合行政执法局；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.会同有关部门开展排污口问题隐患整治工作。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.开展入河排污口监督管理工作；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.会同有关部门开展排污口问题隐患整治工作。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.开展水资源保护宣传活动；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.开展河岸清扫保洁工作；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.摸排上报河道排污口排污问题线索。</w:t>
            </w:r>
          </w:p>
        </w:tc>
      </w:tr>
      <w:tr>
        <w:tblPrEx>
          <w:tblCellMar>
            <w:top w:w="0" w:type="dxa"/>
            <w:left w:w="108" w:type="dxa"/>
            <w:bottom w:w="0" w:type="dxa"/>
            <w:right w:w="108" w:type="dxa"/>
          </w:tblCellMar>
        </w:tblPrEx>
        <w:trPr>
          <w:cantSplit/>
          <w:trHeight w:val="254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开展节水型小区创建，居民小区景观用水排查整治工作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区自然资源和林业局（区水务局）、区城乡建设局：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.制定下发有关通知；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.指导开展创建节水型小区宣传活动；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.指导开展节水型小区创建工作；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.督促小区物业公司落实节水责任；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.监督小区公共用水设施设备维护；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.负责居民小区景观用水排查整治工作。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.开展创建节水型小区宣传工作；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.上报创建小区名单及资料；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.督促小区物业公司落实节水责任；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.督促物业公司维护小区公共用水设施设备；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.摸排上报居民小区景观用水情况。</w:t>
            </w:r>
          </w:p>
        </w:tc>
      </w:tr>
      <w:tr>
        <w:tblPrEx>
          <w:tblCellMar>
            <w:top w:w="0" w:type="dxa"/>
            <w:left w:w="108" w:type="dxa"/>
            <w:bottom w:w="0" w:type="dxa"/>
            <w:right w:w="108" w:type="dxa"/>
          </w:tblCellMar>
        </w:tblPrEx>
        <w:trPr>
          <w:cantSplit/>
          <w:trHeight w:val="27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加强农用地、建设用地和未利用地等土地资源监管工作，及时制止和处置有关违法违规行为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.负责区域内各类土地资源的管理和监督；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.负责土地储备计划和国有建设用地供应计划；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.会同市级生态环境综合行政执法局依法查处违法违规用地行为，跟踪督促违法主体恢复土地原貌。</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.负责辖区内用地和土地性质变更的前期基本信息采集工作；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.负责辖区内土地资源管理；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.落实土地保护责任，排查辖区内各类违法违规用地行为，及时制止并上报上级行业主管部门和行政执法部门；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37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加强林地临时占用的审批与监督管理，制止和处置有关违法违规行为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.负责对林地临时占用进行现场查勘、资料审核、审批，对项目实施占用情况进行监督管理；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.组织制定林地恢复措施，临时占用林地届满，督促及时恢复，不予恢复的责令限期恢复，逾期不恢复的代为恢复；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.对发现或接到上报的未按照审批面积使用林地问题及时进行核查，并协同上级执法部门进行处置。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会同市级生态环境综合行政执法局依法对违法违规问题进行处理。</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.开展临时占用林地相关法律法规政策宣传，及时对区域内临时占用情况进行公示并做好解释工作；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.对临时占用林地申请进行初审，相关资料及时上报有关部门；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.协调处理因临时占用林地引发的矛盾纠纷；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.对日常巡查发现和群众反映的违法违规问题，及时制止并上报至区自然资源和林业局和区生态环境局；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.配合相关部门做好违法违规行为处置工作，提供相关便利条件和有关信息情况，做好现场秩序维护、思想劝导等工作，监督整改措施落实情况；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.占用期满后，监督占用方及时恢复林地。</w:t>
            </w:r>
          </w:p>
        </w:tc>
      </w:tr>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.负责组织开展陆生野生动植物保护相关工作，组织开展野生动植物保护宣传培训及技术指导工作；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.负责野生动物日常救助工作；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.负责野生动物展示展演日常监管工作；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.依法查处非法狩猎、贩卖、食用野生动物等违法行为。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负责野生动物日常救助工作。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负责非法猎捕、收购、杀害、运输、出售野生动物线索摸排收集以及刑事案件办理。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依法依规处置贩卖、食用野生动物的行为。</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.开展野生动物保护相关法律法规和知识宣传教育；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.配合相关部门开展野生动物监测和调查工作；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.配合相关部门对辖区野生动物驯养场所、餐饮等行业重点场所开展检查，发现贩卖、食用野生动物等行为及时制止并上报上级行业主管部门和行政执法部门；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.配合相关部门做好违法违规行为处置工作，提供相关便利条件和有关信息情况，做好现场秩序维护、思想劝导等工作，监督整改措施落实情况；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28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开展扬尘治理工作，监测和评估扬尘对环境质量的影响，做好扬尘污染防治工作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.负责监督落实扬尘污染防治措施，根据大气国控站点监测数据，及时掌握空气质量；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.加强污染排放监管，对各类施工场地扬尘、道路扬尘、餐饮油烟等污染源进行管控。</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.负责建筑工地扬尘防治工作；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.负责监督运输垃圾、砂石等散装、流体物料的车辆是否采取相关措施防止扬尘污染。</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负责交通项目工地货运车辆及道路运输中的扬尘防治工作。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.开展扬尘防治宣传活动，普及有关法律法规和防治知识；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.摸排上报扬尘污染问题线索至有关部门；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.配合有关部门依法依规对扬尘污染违法违规行为进行处置。</w:t>
            </w:r>
          </w:p>
        </w:tc>
      </w:tr>
      <w:tr>
        <w:tblPrEx>
          <w:tblCellMar>
            <w:top w:w="0" w:type="dxa"/>
            <w:left w:w="108" w:type="dxa"/>
            <w:bottom w:w="0" w:type="dxa"/>
            <w:right w:w="108" w:type="dxa"/>
          </w:tblCellMar>
        </w:tblPrEx>
        <w:trPr>
          <w:cantSplit/>
          <w:trHeight w:val="232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开展煤改电、低氮锅炉改造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.制定下发煤改电、低氮锅炉改造项目方案；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.确定煤改电、低氮锅炉改造项目实施范围；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.实施改造项目；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.做好项目验收工作。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配合做好项目实施相关工作。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.配合开展煤改电、低氮锅炉改造项目宣传活动；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.统计上报煤改电、低氮锅炉改造项目表；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.配合区相关单位实施改造项目及验收工作。</w:t>
            </w:r>
          </w:p>
        </w:tc>
      </w:tr>
      <w:tr>
        <w:tblPrEx>
          <w:tblCellMar>
            <w:top w:w="0" w:type="dxa"/>
            <w:left w:w="108" w:type="dxa"/>
            <w:bottom w:w="0" w:type="dxa"/>
            <w:right w:w="108" w:type="dxa"/>
          </w:tblCellMar>
        </w:tblPrEx>
        <w:trPr>
          <w:cantSplit/>
          <w:trHeight w:val="381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加强建设项目、企业环保的监管工作，及时制止和处置有关违法违规行为，开展“散乱污”企业环保监管工作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.负责建设项目环境监督管理工作，落实生态环境分区管控制度；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.按照环评审批权限规定依法审批有关建设项目环境影响评价文件；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.加强对重点排污企业的监督管理，对排污监测设施、危废收集处置设施进行现场检查和监测；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.依法查处项目建设、企业生产经营中破坏生态环境的违法行为；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.按照审批权限，依法审批有关建设项目环境影响评价；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.加强对重点排污企业的监督管理，对排污监测设施、危废收集处置设施进行现场检查和监测；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.依法查处企业、个体经营者或个人违法排污行为。</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.对辖区内日常巡查或群众反映的建设项目建设中存在“未批先建”，出现扬尘污染、施工污水排放、破坏建筑垃圾乱堆乱倒等涉嫌破坏生态环境的问题进行现场核实，及时制止并上报上级行业主管部门；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.对企业异常排污问题线索进行现场核实，及时制止，拒不整改的上报上级行业主管部门；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.配合上级部门做好破坏生态环境违法违规行为的处置工作，提供相关便利条件和有关信息情况，做好现场秩序维护、思想劝导等工作，监督整改措施落实情况；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.宣传有关排污法律法规，摸排上报企业、个体工商户或个人异常排污问题线索。</w:t>
            </w:r>
          </w:p>
        </w:tc>
      </w:tr>
      <w:tr>
        <w:tblPrEx>
          <w:tblCellMar>
            <w:top w:w="0" w:type="dxa"/>
            <w:left w:w="108" w:type="dxa"/>
            <w:bottom w:w="0" w:type="dxa"/>
            <w:right w:w="108" w:type="dxa"/>
          </w:tblCellMar>
        </w:tblPrEx>
        <w:trPr>
          <w:cantSplit/>
          <w:trHeight w:val="280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开展居民区周边经营场所、建筑工地、交通运输、“夜市经济”、集市等社会噪声污染整治工作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区发展改革和工业化信息局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区城乡建设局、区城市管理局、区文体旅游科技局</w:t>
            </w:r>
            <w:r>
              <w:rPr>
                <w:rFonts w:hint="eastAsia" w:ascii="方正公文仿宋" w:hAnsi="Times New Roman" w:eastAsia="方正公文仿宋"/>
                <w:b/>
                <w:bCs/>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区市场监督管理局、区发展改革和工业化信息局、城东公安分局：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.相关职能部门按照各自职责范围开展居民区周边经营场所、“夜间经济”、集市等社会噪声排放情况的监督检查；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.联合开展公共场所社会噪声污染防治工作。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.开展噪音污染防治相关法律法规宣传教育；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.对重点部位、重点行业、重点时段进行巡查，对发现和群众反映的噪音污染问题及时进行劝导，拒不整改的上报上级行业主管部门和行政执法部门；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.做好群众工作，协调化解因噪音污染引起的矛盾纠纷；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7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加强再生资源回收监督管理，制止和处置有关违法违规行为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.负责实施再生资源回收产业政策、回收标准和回收行业发展规划；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.负责再生资源回收企业监督管理工作。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.负责再生资源回收经营主体的登记管理和再生资源回收市场的监督管理；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.依法查处再生资源回收企业无照经营以及其他违法行为。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.负责废旧金属回收备案管理；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.对收购废旧金属企业和个体工商户违反《废旧金属收购业治安管理办法》有关规定的违法犯罪行为进行查处。</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会同市级综合行政执法机构依法查处再生资源回收过程中污染环境的违法行为。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.制定农药包装废弃物回收方案并落实；</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.建立回收废弃物站点，合理布局农药废弃物回收利用。</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.开展再生资源回收法律法规和政策的宣传教育；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.常态化排查辖区再生资源回收站；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.制止并上报发现和群众反映的违法违规问题；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323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做好畜禽养殖污染防治的监督管理，及时制止和查处有关违法违规行为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.指导畜禽养殖户改进粪污处理和综合利用方法；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.负责组织实施粪污处理设施建设。</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.负责畜禽养殖污染防治的统一监督管理；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.依法查处从事畜禽养殖活动或畜禽养殖废弃物处理活动中资源利用不到位、无害化措施落实不到位、造成环境污染的行为。</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.开展畜禽养殖废弃物综合利用技术推广和污染防治法律法规政策宣传教育；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.配合做好粪污处理设施建设；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.对本辖区畜禽养殖合作社等进行日常检查，对发现和群众反映的畜禽养殖污染问题进行现场核实上报；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82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开展污染源普查工作，做好突发环境事件应急处置工作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.组织有关人员指导本行政区域内的污染源普查对象填报污染源普查表；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.负责本行政区域污染源普查数据汇总、分析、核查验收和成果上报，推动普查数据成果应用；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.负责突发事件应急处置的综合协调指挥工作，根据环境应急预案，启动应急响应措施，及时上报事件信息，组织开展生态环境监测、现场排查检查，事件信息的分析、评估，提出应急处置方案和建议报区政府；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.会同有关部门开展事故调查；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.上报事件调查进展情况及处理结果，有涉嫌违法违规行为的，依法作出行政处罚。</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.开展污染源普查及污染物减排知识宣传；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.组织辖区内普查对象积极参与并认真做好污染源普查工作：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.按照上级行业主管部门制定的环境污染应急预案，制定本辖区应急预案并组织演练；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.组织成立环境污染应急事件应急队伍，协调上级行业主管部门开展培训；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default" w:ascii="Times New Roman" w:hAnsi="Times New Roman" w:eastAsia="方正公文黑体"/>
                <w:color w:val="auto"/>
                <w:lang w:val="en"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71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做好宗教活动场所、宗教临时活动点及宗教建筑物改（扩）建、新建、维修重建的管理监督工作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区民族宗教事务局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.受理申请并征求街道办事处规划意见；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.联合有关部门对建设项目的可行性、规划合规性、资金合法性、安全风险等方面进行初步审核；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 初审通过后，按程序报请上级主管部门审批；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.批复后，监督施工，确保符合施工标准和安全规范；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.竣工后组织验收；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.定期进行检查，避免擅自扩大规模或改变用途；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.依法处置违规建设项目。</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.配合有关部门对宗教活动场所内改建或者新建建筑物进行审批；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.配合有关部门对改建、新建项目加强监管、处置违规建设项目，做好劝导和秩序维护工作；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40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开展清真食品生产经营管理工作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.加强清真经营生产食品宣传教育；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.审批清真食品经营许可证；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.联合有关部门开展常态化检查；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.牵头组织有关单位整治清真概念泛化问题。</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.做好清真标识泛化整治工作；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.做好清真食品监管工作。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.加强清真食品有关政策法规的宣传；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.配合相关部门对清真食品经营场所进行日常检查，对发现和群众反映的违法问题进行核实并上报；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.配合相关部门依法处置清真食品经营违法违规问题，提供相关便利条件和有关信息情况，做好现场秩序维护、思想劝导等工作，监督整改措施落实情况；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.做好辖区内涉及清真食品矛盾纠纷调解工作。</w:t>
            </w:r>
          </w:p>
        </w:tc>
      </w:tr>
      <w:tr>
        <w:tblPrEx>
          <w:tblCellMar>
            <w:top w:w="0" w:type="dxa"/>
            <w:left w:w="108" w:type="dxa"/>
            <w:bottom w:w="0" w:type="dxa"/>
            <w:right w:w="108" w:type="dxa"/>
          </w:tblCellMar>
        </w:tblPrEx>
        <w:trPr>
          <w:cantSplit/>
          <w:trHeight w:val="488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开展宗教活动场所（民间信仰活动场所）安全生产（消防安全）监管工作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.制定下发宗教活动场所（民间信仰活动场所）安全生产（消防安全）工作方案；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.宣传宗教活动场所（民间信仰活动场所）安全生产知识；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.开展安全生产检查实操培训；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.联合有关部门开展安全隐患和问题整治工作。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负责宗教活动场所（民间信仰活动场所）消防安全排查整治工作。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.开展辖区宗教活动场所（民间信仰活动场所）安全生产（消防安全）宣传工作；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.排查上报辖区宗教活动场所（民间信仰活动场所）安全生产（消防安全）方面存在的隐患问题；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.参加安全生产（消防安全）有关培训活动；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53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开展大型群众性活动安全管理和应急处置工作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区民族宗教事务局</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.审批大型群众性文化体育活动；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.做好承办协办工作。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.负责大型群众性活动的治安管理和安全管理工作，依法打击违法犯罪活动，指导相关单位做好安全监管工作；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.负责现场秩序维护、引导疏导工作；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.处置突发情况。</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.加强对相关行业部门的指导，组织协调各部门开展安全检查，排除安全隐患；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.制定突发事件应急预案，组织开展演练，负责突发事件应急处置的综合协调指挥，开展事故调查。</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开展相关救援活动。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做好交通疏导工作，防止交通堵塞。</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做好医疗救护工作。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.对大型宗教活动进行初审，报市民族宗教事务部门征求本级公安机关意见后审批，并报省民族宗教事务部门备案；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.对宗教活动进行监督指导，确保宗教活动严格按照宗教仪轨进行；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.组织相关部门维持现场秩序，防止意外事故发生。</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.配合做好活动现场及周边设施的安全检查；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.配合做好现场秩序维护及车辆引导疏导等工作；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.及时调解处理活动中产生的各类矛盾纠纷；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.配合做好突发事件应急处置和人员疏散等工作；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.配合开展医疗救护工作。</w:t>
            </w:r>
          </w:p>
        </w:tc>
      </w:tr>
      <w:tr>
        <w:tblPrEx>
          <w:tblCellMar>
            <w:top w:w="0" w:type="dxa"/>
            <w:left w:w="108" w:type="dxa"/>
            <w:bottom w:w="0" w:type="dxa"/>
            <w:right w:w="108" w:type="dxa"/>
          </w:tblCellMar>
        </w:tblPrEx>
        <w:trPr>
          <w:cantSplit/>
          <w:trHeight w:val="900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开展校园安全及周边环境综合治理工作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区司法局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区科技文体旅游局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.组织开展学校和学生安全宣传教育；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.联合有关部门开展校园周边安全隐患排查处置。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.整治或处罚校园周边出租屋、宾馆、网吧、娱乐场所等重点场所违法违规问题；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.联合有关部门开展校园周边安全隐患排查处置；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.做好校园周边护学岗工作。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.整治学校周边市容市貌、环境卫生；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.开展学校周边值守。</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检查校园周边生产经营单位食品安全、产品质量安全和禁止向未成年人销售烟酒等问题，并进行处置。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开展校园周边噪音整治工作。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负责校园周边交通安全工作，优化交通指挥设施，降低安全隐患。</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区司法局：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.加强青少年法治教育，发挥青少年法治教育基地的作用,做好法治副校长、法治辅导员的选聘、管理和考核；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.对“谁执法谁普法”普法责任制落实情况进行督促、检查、指导。</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区科技文体旅游局：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.对校园周边文化经营场所进行监督检查；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.加强对校园周边网吧及游艺娱乐场所等的监管。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做好学校及周边公共卫生安全工作。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.开展校园周边防火、用水、用电、防溺水、饮食卫生、交通安全等方面宣传教育；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.排摸上报校园周边重点人群和重点场所；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.排查上报校园周边问题隐患。</w:t>
            </w:r>
          </w:p>
        </w:tc>
      </w:tr>
      <w:tr>
        <w:tblPrEx>
          <w:tblCellMar>
            <w:top w:w="0" w:type="dxa"/>
            <w:left w:w="108" w:type="dxa"/>
            <w:bottom w:w="0" w:type="dxa"/>
            <w:right w:w="108" w:type="dxa"/>
          </w:tblCellMar>
        </w:tblPrEx>
        <w:trPr>
          <w:cantSplit/>
          <w:trHeight w:val="905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保护未成年人合法权益，预防青少年违法犯罪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区检察院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区人民法院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共青团区委</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加强线索摸排，侦破涉及未成年人案件，打击涉未成年违法犯罪行为。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区检察院：</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.依法办理未成年人犯罪案件；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.履行法律监督职责；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.对涉案未成年人开展心理辅导、司法救助、社会救助等工作。</w:t>
            </w:r>
            <w:r>
              <w:rPr>
                <w:rFonts w:hint="eastAsia" w:ascii="方正公文仿宋" w:hAnsi="Times New Roman" w:eastAsia="方正公文仿宋"/>
                <w:b/>
                <w:bCs/>
                <w:color w:val="auto"/>
                <w:lang w:val="en-US" w:eastAsia="zh-CN" w:bidi="ar"/>
              </w:rPr>
              <w:br w:type="textWrapping"/>
            </w:r>
            <w:r>
              <w:rPr>
                <w:rFonts w:hint="eastAsia" w:ascii="方正公文仿宋" w:hAnsi="Times New Roman" w:eastAsia="方正公文仿宋"/>
                <w:b/>
                <w:bCs/>
                <w:color w:val="auto"/>
                <w:lang w:val="en-US" w:eastAsia="zh-CN" w:bidi="ar"/>
              </w:rPr>
              <w:t>区人民法院：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做好青少年违法犯罪案件审理工作。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.落实未成年人案件强制报告制度；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.加强未成年人疾病防治和传染病防控，做好儿童预防保健工作，提供未成年人健康和心理服务。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共青团区委：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.开展普法宣传活动，加强未成年人普法宣传教育；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.推广“</w:t>
            </w:r>
            <w:r>
              <w:rPr>
                <w:rFonts w:hint="eastAsia" w:ascii="Times New Roman" w:hAnsi="Times New Roman" w:eastAsia="方正公文仿宋"/>
                <w:color w:val="auto"/>
                <w:lang w:val="en-US" w:eastAsia="zh-CN" w:bidi="ar"/>
              </w:rPr>
              <w:t>12355</w:t>
            </w:r>
            <w:r>
              <w:rPr>
                <w:rFonts w:hint="eastAsia" w:ascii="方正公文仿宋" w:hAnsi="Times New Roman" w:eastAsia="方正公文仿宋"/>
                <w:color w:val="auto"/>
                <w:lang w:val="en-US" w:eastAsia="zh-CN" w:bidi="ar"/>
              </w:rPr>
              <w:t>”服务平台，联合检察机关深化青少年司法保护；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.向青少年提供社会服务和维权服务，维护青少年合法权益。</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t>：</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做好未成年人保护和预防违法犯罪宣传教育工作。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区妇女联合会：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.组织开展未成年人普法宣传活动；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.动态更新留守、困境儿童台账，开展救助工作；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.开展未成年人心理疏导工作。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.配合相关部门开展未成年人保护普法宣传教育；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.配合处理涉及未成年人违法犯罪和未成年人权益受侵害的事件；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.配合做好涉案未成年人关爱、帮教、救助工作；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.上报发现和群众反映的疑似未成年人受虐待、伤害等不法侵害的情况；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.摸排上报困境儿童、留守儿童信息；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.协助有关部门开展适龄儿童缓学事项办理工作；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.配合有关部门开展辍学学生返校工作；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.配合有关部门开展涉案未成年人家庭教育，做好救助工作；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.配合有关部门开展有关未成年移送少管所工作。</w:t>
            </w:r>
          </w:p>
        </w:tc>
      </w:tr>
      <w:tr>
        <w:tblPrEx>
          <w:tblCellMar>
            <w:top w:w="0" w:type="dxa"/>
            <w:left w:w="108" w:type="dxa"/>
            <w:bottom w:w="0" w:type="dxa"/>
            <w:right w:w="108" w:type="dxa"/>
          </w:tblCellMar>
        </w:tblPrEx>
        <w:trPr>
          <w:cantSplit/>
          <w:trHeight w:val="902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开展防震减灾工作，做好自然灾害和地质灾害抢险救助工作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其他防灾减灾救灾委员会成员单位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.编制实施防震减灾规划和应急预案；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.设置与管理地震、自然灾害、地质灾害等应急避难场所，培训各类灾害紧急救援队伍；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.监督检查灾害应急避险、互助自救队伍、防震减灾知识宣传教育和应急救援演练等工作；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.加强地震群防工作；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.负责地震信息的报告和推送工作；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.接到乡镇（街道）地质灾害报告，第一时间反馈相关行业主管部门，督促行业部门对灾情进行上报；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.依法依规收集、统计、报告地质灾害灾情数据及救援救灾工作信息，及时上报上级主管部门，并积极争取救灾资金、灾害恢复重建资金。</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.编制实施自然灾害、地质灾害规划和应急预案，根据灾害情况及时组织有关部门会商，发布、启动应急响应级别并启动应急预案；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.负责自然灾害和地质灾害监测的报告和推送工作；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.开展地质灾害隐患排查，对出现地质灾害前兆、可能造成人员伤亡或者重大财产损失的区域和地段，及时划定为地质灾害危险区，予以公告，并在地质灾害危险区的边界设置明显警示标志；</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.负责辖区范围内地质灾害监测预警系统的建设、维护及运营，及时向各镇（街道）发布地质灾害预警信息；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.开展地质灾害工程治理工作，承担地质灾害应急救援技术支撑工作；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.接到镇（街道）地质灾害报告，会同应急管理等部门进行现场核查，尽快查明地质灾害发生原因、影响范围等情况，提出防范应对措施，减轻和控制地质灾害灾情；</w:t>
            </w: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.开展地质灾害避险点搬迁工作，协调解决搬迁过程中出现的矛盾纠纷，做好搬迁后土地复垦复种。</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做好救灾物资的采购、储备、调拨和救灾物资的回收工作。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其他防灾减灾救灾委员会成员单位按职责范围开展相关工作。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.开展宣传教育，提升群众自救能力；</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.制定应急预案和调度方案，建立辖区风险隐患点清单；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.组建街道抢险救援队伍，组织开展日常演练，做好人防、物防、技防等准备工作；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.开展辖区地质灾害危险区等各类风险隐患点巡查巡护、隐患排查工作，建立风险隐患点清单，及时转发预警信息，做好防范处置工作，上报辖区设施受损情况；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.做好值班值守、信息报送；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.落实“叫应”“叫醒”机制，及时组织受灾害威胁的居民及其他人员转移到安全地带；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.做好受灾群众生活安排，及时发放上级下拨的救助经费和物资；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.组织开展灾后受灾群众的生产生活恢复工作。</w:t>
            </w:r>
          </w:p>
        </w:tc>
      </w:tr>
      <w:tr>
        <w:tblPrEx>
          <w:tblCellMar>
            <w:top w:w="0" w:type="dxa"/>
            <w:left w:w="108" w:type="dxa"/>
            <w:bottom w:w="0" w:type="dxa"/>
            <w:right w:w="108" w:type="dxa"/>
          </w:tblCellMar>
        </w:tblPrEx>
        <w:trPr>
          <w:cantSplit/>
          <w:trHeight w:val="902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开展防汛防涝抗旱和极端天气应对处置工作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区市政公用服务中心</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其他防灾减灾救灾委员会成员单位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.负责建立防汛防涝抗旱组织指挥体系，开展防汛防涝抗旱、极端天气应急处置；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.督促检查辖区单位防汛防涝抗旱组织工作；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.组织救援队伍开展应急救援工作；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.负责防汛抗旱信息报送；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.根据气象部门发布的提醒预警，转发提醒预警，做好灾害性极端天气防范工作，启动应急预案；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.做好极端天气灾害损失调查评估工作。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负责开展农业防灾减灾、极端天气指导、灾情监测评估和生产物资保障，组织开展受灾地区农牧业恢复生产工作。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.组织协调指导和监督地面塌陷、山体滑坡等地质灾害防治工作；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.开展专业监测和预警预报工作，承担涉及地质灾害的应急救援支撑，对各类防汛水利设施开展汛前检查，维护更新监测预警设备；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.开展山洪灾害危险区隐患排查整治，开展应急演练；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.组织队伍开展防汛应急救援工作，做好防汛抢险取用土地协调工作，指导灾后房屋重建规划的编制及审批;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.负责防汛抢险物资管理。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区市政公用服务中心：</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负责完善城区雨污排水设施，指导防御内涝，加强桥洞、涵道日常巡查。</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负责巡查内涝、积水重点区域、桥洞等，联合相关部门开展整治工作。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负责建筑工地预警发布，自建房屋隐患监测，督促检查物业小区防涝。</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负责做好受灾群众安置和救助工作。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其他防灾减灾救灾委员会成员单位按职责范围开展相关工作。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.组织开展防汛抗旱、极端天气相关知识宣传培训；</w:t>
            </w: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.制定街道应急预案，组织开展应急演练；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.建立内涝、积水点隐患重点点位排查表；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.配合有关部门巡查地质灾害隐患点、自建房、河道等重点区域隐患；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.做好汛期值班值守，及时报送紧急信息；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.落实“叫应”“叫醒”机制，重点人员做到点对点通知，制发防灾工作明白卡和转移避险明白卡，组织开展应急救援，转移受灾群众，做好劝返工作，组织群众开展防汛抗旱生产自救；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.做好扫雪除冰工作，确保居民安全出行；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.配合有关部门开展受灾群众救助工作；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.储备分发防汛应急物资；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.配合相关部门开展灾情核查、损失评估等工作，做好灾后重建和复工复产等工作。</w:t>
            </w:r>
          </w:p>
        </w:tc>
      </w:tr>
      <w:tr>
        <w:tblPrEx>
          <w:tblCellMar>
            <w:top w:w="0" w:type="dxa"/>
            <w:left w:w="108" w:type="dxa"/>
            <w:bottom w:w="0" w:type="dxa"/>
            <w:right w:w="108" w:type="dxa"/>
          </w:tblCellMar>
        </w:tblPrEx>
        <w:trPr>
          <w:cantSplit/>
          <w:trHeight w:val="378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其他安全生产委员会成员单位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按照中共西宁市城东区委员会办公室 西宁市城东区人民政府办公室关于印发《城东区党政领导干部及安委会成员单位安全生产工作职责清单》的通知 中共西宁市城东区委员会办公室关于《城东区党政领导干部及安委会成员单位安全生产工作职责清单》增加内容的通知按照各自职责范围开展安全生产监管工作。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.开展各类安全生产知识宣传；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相关部门开展安全生产检查，对辖区“九小场所”、农家乐经营性自建房、在建工地、燃气、低洼易涝点及城市地下空间、江河堤防、山塘水库等地质灾害危险区、森林草原火险区开展风险隐患排查并形成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.针对发现的安全生产隐患督促单位进行整改；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.上报相关隐患问题，配合有关部门处置隐患，及时制止违法行为。</w:t>
            </w:r>
          </w:p>
        </w:tc>
      </w:tr>
      <w:tr>
        <w:tblPrEx>
          <w:tblCellMar>
            <w:top w:w="0" w:type="dxa"/>
            <w:left w:w="108" w:type="dxa"/>
            <w:bottom w:w="0" w:type="dxa"/>
            <w:right w:w="108" w:type="dxa"/>
          </w:tblCellMar>
        </w:tblPrEx>
        <w:trPr>
          <w:cantSplit/>
          <w:trHeight w:val="519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开展“九小场所”安全生产监管工作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其他安全生产委员会成员单位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.指导督促公安派出所履行“九小场所”日常消防监督检查、消防宣传教育职责；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.依法督促隐患整改，对存在严重威胁公共安全的火灾隐患，应当在责令改正的同时书面报告乡镇人民政府（街道办事处）和消防救援机构，直至消除隐患。</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指导“九小场所”经营者开展应急救援一张图绘制工作。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.严格审校“九小场所”农家乐及集镇区内各类经营主体的营业执照、食品经营许可证等相关证照，确保经营主体合法合规经营；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.对"九小"场所中的小餐馆、农家乐以及各类食品经营单位开展监督检查，定期对食品进行抽检检测；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.对特种设备进行安全监管，加强安全教育。</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其他安全生产委员会成员单位按照各自职责做好“九小场所”安全监管有关工作。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.开展“九小场所”安全生产宣传工作；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.配合有关部门开展“九小场所”风险隐患排查，推动落实自查制度，发现安全隐患及时上报；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.对存在违法行为的“九小场所”及时报区级主管部门，协助进行处置，并提供相关便利条件，提供有关信息情况，做好现场秩序维护工作；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.安全生产事故发生后，及时启动应急预案，组织人员撤离。</w:t>
            </w:r>
          </w:p>
        </w:tc>
      </w:tr>
      <w:tr>
        <w:tblPrEx>
          <w:tblCellMar>
            <w:top w:w="0" w:type="dxa"/>
            <w:left w:w="108" w:type="dxa"/>
            <w:bottom w:w="0" w:type="dxa"/>
            <w:right w:w="108" w:type="dxa"/>
          </w:tblCellMar>
        </w:tblPrEx>
        <w:trPr>
          <w:cantSplit/>
          <w:trHeight w:val="900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做好消防、燃气安全集中摸排、整治、监督管理工作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其他消防安全委员会成员单位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.制定工作方案，组织开展消防安全整治行动；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.召开专题部署会；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.摸排消防安全重大隐患；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.开展拆窗破网“生命通道”、人员密集场所动火作业和建筑保温材料安全隐患全链条专项整治工作；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.处置重大消防安全隐患和开展消防救援工作。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开展组织协调应急救援工作。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.负责全区燃气安全管理工作；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.监督从事安装、维修活动的燃气燃烧器具经营者依法设立或者委托设立售后服务站点，配备经考核合格的安装维修人员；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.督促燃气经营者和燃气用户签订供用气合同；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.核查燃气经营、燃气使用的安全状况，做好整改工作；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.处置辖区重大燃气安全隐患。</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.配合有关部门开展燃气安全使用专项整治工作；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.开展燃气灶具及配件质量安全监管工作，查处销售不符合国家标准的燃气灶具及配件的违法行为。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依法指导监督本行政县域内燃气企业加强内部安保工作，依法查处侵占、破坏、盗窃、哄抢燃气设施和盗用燃气等违法犯罪行为。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其他消防安全委员会成员单位按职责范围做好相关工作。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.配合有关部门排查整治各类经营性场所开展消防、燃气等重点领域安全隐患；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.上报群众反映的涉及消防、燃气安全问题的线索；</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.配合有关部门开展燃气器具经营单位排查整治工作；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.配合有关部门开展拆窗破网“生命通道”、人员密集场所动火作业和建筑保温材料安全隐患全链条专项整治工作；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.配合有关部门开展用气单位安全隐患排查整治工作。</w:t>
            </w:r>
          </w:p>
        </w:tc>
      </w:tr>
      <w:tr>
        <w:tblPrEx>
          <w:tblCellMar>
            <w:top w:w="0" w:type="dxa"/>
            <w:left w:w="108" w:type="dxa"/>
            <w:bottom w:w="0" w:type="dxa"/>
            <w:right w:w="108" w:type="dxa"/>
          </w:tblCellMar>
        </w:tblPrEx>
        <w:trPr>
          <w:cantSplit/>
          <w:trHeight w:val="413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其他安全生产委员会成员单位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.组织开展森林消防培训和森林防火宣传教育；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.签订森林防火目标责任书；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.配备防火物资，建立防火隔离带，清理可燃物。</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.制定森林防火应急预案；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.建立森林火险预警响应机制，做好森林火灾的预防和应急处置等准备工作；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.督促落实值班值守和信息报送工作。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依据区级森林防火应急预案开展灭火工作。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其他安全生产委员会成员单位按职责范围开展相关工作。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.宣传森林资源保护政策法规；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.排查上报破坏森林资源问题和森林火情信息；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.配合开展森林防火演练，火灾发生时，做好火场周边区域的秩序维护、人员疏散等工作；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.做好重点时段值班值守和信息报送工作。</w:t>
            </w:r>
          </w:p>
        </w:tc>
      </w:tr>
      <w:tr>
        <w:tblPrEx>
          <w:tblCellMar>
            <w:top w:w="0" w:type="dxa"/>
            <w:left w:w="108" w:type="dxa"/>
            <w:bottom w:w="0" w:type="dxa"/>
            <w:right w:w="108" w:type="dxa"/>
          </w:tblCellMar>
        </w:tblPrEx>
        <w:trPr>
          <w:cantSplit/>
          <w:trHeight w:val="489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开展电动自行车安全隐患排查整治工作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区委宣传部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区人民法院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区人民检察院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依据各自职责范围开展工作。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.发放宣传彩页等方式对电动自行车违规入楼、飞线充电造成的电火灾事故案例及相关知识进行宣传；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.配合有关部门排查整治电动自行车占用消防通道问题；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.配合有关部门开展电动自行车安全隐患排查整治工作；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.引导支持物业企业安装电动车停放、充电和电梯阻车器等设施。</w:t>
            </w:r>
          </w:p>
        </w:tc>
      </w:tr>
      <w:tr>
        <w:tblPrEx>
          <w:tblCellMar>
            <w:top w:w="0" w:type="dxa"/>
            <w:left w:w="108" w:type="dxa"/>
            <w:bottom w:w="0" w:type="dxa"/>
            <w:right w:w="108" w:type="dxa"/>
          </w:tblCellMar>
        </w:tblPrEx>
        <w:trPr>
          <w:cantSplit/>
          <w:trHeight w:val="896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其他食安委成员单位</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.负责对区域内食品、药品安全等关乎人民群众生命健康安全用品开展日常监管等；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.督促对辖区内食品、药品、保健食品、化妆品、医疗器械等生产、经营、使用的单位(个人)进行日常巡查,发现违法违规行为，及时依法查处；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.制定食品安全事故应急预案并组织演练；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.定期对辖区食品生产销售企业开展风险排查监测；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.及时向区政府及市市场监督管理局上报事故调查进展情况及处理结果，有涉嫌违法违规行为的，依法作出行政处罚。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.组织协调医疗资源及时开展救治；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.对食品安全事故可能引发的传染病或其他健康危害进行监测评估；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.协助相关部门进行现场样本采集，为事故原因判定提供依据。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.接到食品安全事故的报告后，积极协助卫健部门开展现场封控和管控工作，落实食品安全防范要求，及时做好现场秩序维护工作；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.依法处置食品安全违法犯罪行为；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.积极协助行业部门做好对食品安全的检查和情报线索收集、宣传、防范工作，切实抓好食品的安全防范和落实工作。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食安委其他成员单位按照各自职责范围做好食品安全监管工作。</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.开展食品安全知识宣传教育工作；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.制定食品安全事故应急预案，根据预案要求，开展应急演练；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.收集食品安全投诉举报线索问题，配合相关部门协调解决；</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.配合相关部门开展各类食品安全日常检查；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.开展节日期间食品安全专项检查，对发现的问题及时上报相关部门；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.发生食品安全事件后，及时上报有关部门，启动应急预案，配合做好病员救助等应急处置工作。</w:t>
            </w:r>
          </w:p>
        </w:tc>
      </w:tr>
      <w:tr>
        <w:tblPrEx>
          <w:tblCellMar>
            <w:top w:w="0" w:type="dxa"/>
            <w:left w:w="108" w:type="dxa"/>
            <w:bottom w:w="0" w:type="dxa"/>
            <w:right w:w="108" w:type="dxa"/>
          </w:tblCellMar>
        </w:tblPrEx>
        <w:trPr>
          <w:cantSplit/>
          <w:trHeight w:val="898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配合开展烟花爆竹经营、储存、运输、燃放等安全整治工作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负责烟花爆竹的安全生产监督管理，对烟花爆竹经营门店安全条件进行检查审查，符合条件的，颁发《烟花爆竹零售经营许可证》，依法查处非法生产、经营烟花爆竹的行为。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.严格烟花爆竹经营主体登记准入制度，对已被取消许可证的企业、零售经营者，根据有关部门的信息通报，责令办理变更登记或注销登记，逾期不办理的，依法吊销其营业执照；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.配合公安、应急部门开展烟花爆竹市场专项检查；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.积极宣传非法生产经营烟花爆竹的危害性，强化群众安全意识。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依法查处销售燃放烟花爆竹过程中违法占道、影响环境卫生、占用城市园林绿地的行为。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负责因燃放烟花爆竹造成环境污染的监测工作。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督促建设、施工等单位遵守燃放烟花爆竹安全管理规定，督促物业服务企业做好服务区域禁止燃放烟花爆竹的宣传和违规燃放烟花爆竹行为的劝阻、举报工作。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负责指导婚姻登记、殡仪馆、公墓等单位开展宣传，引导婚丧嫁娶活动遵守燃放烟花爆竹安全管理规定。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交通一大队：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负责对公共交通、出租车等运营车辆禁止携带烟花爆竹的宣传、教育和查处工作。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负责山林、草原、公园等区域禁止燃放烟花爆竹的安全管理工作。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负责指导学校等教育机构禁止燃放烟花爆竹的宣传工作。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对烟花爆竹违法经营者进行处罚。</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.配合上级主管部门宣传非法经营烟花爆竹的危害性，增强安全意识；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.配合上级主管部门对无证经营行为进行处置；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.配合有关部门开展烟花爆竹市场专项检查；对非法储存、经营、运输及燃放行为进行处罚；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Style w:val="18"/>
                <w:rFonts w:hint="eastAsia" w:hAnsi="方正公文黑体" w:eastAsia="方正公文黑体"/>
                <w:color w:val="auto"/>
                <w:lang w:val="en-US" w:eastAsia="zh-CN" w:bidi="ar"/>
              </w:rPr>
              <w:t>五、民生服务（18项）</w:t>
            </w:r>
          </w:p>
        </w:tc>
      </w:tr>
      <w:tr>
        <w:tblPrEx>
          <w:tblCellMar>
            <w:top w:w="0" w:type="dxa"/>
            <w:left w:w="108" w:type="dxa"/>
            <w:bottom w:w="0" w:type="dxa"/>
            <w:right w:w="108" w:type="dxa"/>
          </w:tblCellMar>
        </w:tblPrEx>
        <w:trPr>
          <w:cantSplit/>
          <w:trHeight w:val="47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开展创建充分（星级）就业社区，公益性岗位开发管理，城镇零就业家庭和距退休年龄不足</w:t>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年的失业人员认定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.根据上级人力资源和社会保障部门的目标细则，制定检查标准和评分细则，做好申报命名工作；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.发布招聘公益岗位招聘信息，审核公益岗位人员资格，负责公益岗位人员开发、管理、培训和选派工作；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.负责对公益性岗位人员在岗情况进行督导检查、社保申报缴费工作；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.负责城镇零就业家庭和距退休年龄不足</w:t>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年的失业人员认定；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.负责公益性岗位人员岗位补贴、社会保险补贴审核工作。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负责公益性岗位人员岗位补贴、社会保险补贴审批发放工作。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.按照推进充分（星级）社区就业细则，完善上报工作资料，申报充分（星级）就业社区；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公益性岗位政策宣传，配合人力资源和社会保障局发布岗位招聘信息，摸排上报辖区公益岗位需求，与到岗的公益岗位人员签订三方协议，做好公益性岗位人员岗位设置和日常管理工作，配合相关部门培训公益性岗位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.配合有关部门开展城镇零就业家庭和距退休年龄不足</w:t>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年的失业人员认定工作；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.做好失业人员职业介绍工作。</w:t>
            </w:r>
          </w:p>
        </w:tc>
      </w:tr>
      <w:tr>
        <w:tblPrEx>
          <w:tblCellMar>
            <w:top w:w="0" w:type="dxa"/>
            <w:left w:w="108" w:type="dxa"/>
            <w:bottom w:w="0" w:type="dxa"/>
            <w:right w:w="108" w:type="dxa"/>
          </w:tblCellMar>
        </w:tblPrEx>
        <w:trPr>
          <w:cantSplit/>
          <w:trHeight w:val="372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开展城乡劳动力职业技能培训工作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区总工会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区文体旅游科技局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.开展技能培训需求调研，建立健全城乡劳动力职业技能培训体系；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.整合培训资源，强化资金保障，开展技能培训，监督培训质量；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.收集就业岗位信息，对接劳务用工需求，做好就业服务；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.建立培训及就业台账。</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区农业农村局、区总工会、区妇女联合会、区文体旅游科技局：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做好各自职责范围内城乡劳动力技能培训工作。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.开展职业技能培训政策宣传；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.配合就业部门开展培训需求调查，上报培训需求；</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 xml:space="preserve">.动员符合条件的劳动力积极参加各类培训，做好培训机构和学员的协调工作；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.跟踪培训过程，反馈培训效果。</w:t>
            </w:r>
          </w:p>
        </w:tc>
      </w:tr>
      <w:tr>
        <w:tblPrEx>
          <w:tblCellMar>
            <w:top w:w="0" w:type="dxa"/>
            <w:left w:w="108" w:type="dxa"/>
            <w:bottom w:w="0" w:type="dxa"/>
            <w:right w:w="108" w:type="dxa"/>
          </w:tblCellMar>
        </w:tblPrEx>
        <w:trPr>
          <w:cantSplit/>
          <w:trHeight w:val="246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.制定下发国有企业退休人员社会化管理工作方案；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.统计国有企业退休人员居住小区和人员情况；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.拨付发放监管专项资金；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.指导镇（街道）开展国有企业退休人员社会化管理工作。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.摸排辖区国有企业退休人员居住小区和人员情况，建立台账并上报；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.规划使用专项资金，上报资金使用情况；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.对国有企业退休人员进行走访慰问，组织开展文体等各类活动；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.改善社会化管理工作必需的工作条件和国有企业退休人员集中居住小区环境。</w:t>
            </w:r>
          </w:p>
        </w:tc>
      </w:tr>
      <w:tr>
        <w:tblPrEx>
          <w:tblCellMar>
            <w:top w:w="0" w:type="dxa"/>
            <w:left w:w="108" w:type="dxa"/>
            <w:bottom w:w="0" w:type="dxa"/>
            <w:right w:w="108" w:type="dxa"/>
          </w:tblCellMar>
        </w:tblPrEx>
        <w:trPr>
          <w:cantSplit/>
          <w:trHeight w:val="33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做好就业、失业登记工作，开展审批发放就业补助资金和失业保险金工作，指导创业担保贷款申请与资料审核等工作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.负责开展全区群众就业、失业登记工作；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.负责建立健全就业补助资金和失业保险金等制度；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.负责就业补助资金和失业保险金的审批发放和管理工作；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.负责做好人力资源社会保障信息系统维护和信息公开工作；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.负责监督享受补助对象；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.掌握创业人员创业意愿，提供创业服务和指导，审核发放创业补贴，指导做好创业担保贷款相关工作。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.宣传就业、失业保险、创业补贴政策；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.配合做好辖区群众就业、失业登记工作；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.受理灵活就业人员社会保险补贴和失业人员失业保险金申请，初审上报；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.配合做好补助资金和失业保险金使用情况的动态跟踪，及时上报发现的有关情况；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.配合开展创业担保贷款的申请受理、初审工作，摸排上报新增企业创业服务。</w:t>
            </w:r>
          </w:p>
        </w:tc>
      </w:tr>
      <w:tr>
        <w:tblPrEx>
          <w:tblCellMar>
            <w:top w:w="0" w:type="dxa"/>
            <w:left w:w="108" w:type="dxa"/>
            <w:bottom w:w="0" w:type="dxa"/>
            <w:right w:w="108" w:type="dxa"/>
          </w:tblCellMar>
        </w:tblPrEx>
        <w:trPr>
          <w:cantSplit/>
          <w:trHeight w:val="311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开展城乡养老保险工作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.统筹开展全区城乡居民基本养老保险参保动员、预算编制、基金收支、转移接续、宣传解读等工作，对城乡居民社会养老保险人员信息进行复核，按程序发放资金；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.对城乡居民养老保险参保资格、待遇领取资格、生存认证、财政补助资金到位、重复享受待遇等情况进行稽核，负责全区城乡居民基本养老保险冒领、虚报资金的追缴工作；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.负责被征地农民养老保险工作。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.配合开展城乡居民养老保险政策宣传；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.动员城乡居民及时参保缴费，协助享保人员开展生存认证工作；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.做好疑似死亡人员、待遇领取人员死亡后被他人冒领养老待遇的核查及上报工作。</w:t>
            </w:r>
          </w:p>
        </w:tc>
      </w:tr>
      <w:tr>
        <w:tblPrEx>
          <w:tblCellMar>
            <w:top w:w="0" w:type="dxa"/>
            <w:left w:w="108" w:type="dxa"/>
            <w:bottom w:w="0" w:type="dxa"/>
            <w:right w:w="108" w:type="dxa"/>
          </w:tblCellMar>
        </w:tblPrEx>
        <w:trPr>
          <w:cantSplit/>
          <w:trHeight w:val="905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开展校外培训机构监管，做好“双减”有关工作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.牵头协调相关部门，按照权责分工对校外培训机构管理情况进行监督；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.协同相关执法部门依法查处学科类校外培训机构；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.指导学校做好“双减”有关工作。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.对申请设立的文化艺术类校外培训机构进行前置审核；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.对合规机构进行办学资质、办学行为、项目（课程）设置、从业人员资质、培训材料、收费项目及标准、退费制度审查，对从业人员、培训内容、培训材料等进行备案审查；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.联合相关部门对培训机构的场所安全、消防安全等进行检查和监管；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.会同市文体旅游综合行政执法局依法对违法违规问题进行处理。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.负责营利性非学科类培训机构的登记注册工作；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.会同相关部门开展培训收费专项整治，依法查处价格违法行为；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.对提供食堂用餐服务的校外培训机构，纳入食品安全常态化管理；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.负责教育培训广告监督管理，依法查处虚假宣传行为。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指导督促教育部门协调有关部门对校外培训机构的生产经营场所开展安全隐患排查整治。</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负责对培训机构消防安全检查和监管。</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.配合开展校外培训、双减相关法律法规宣传教育；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.收集群众对校外培训机构的投诉举报信息，初步核实后，上报有关部门；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3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w:t>
            </w:r>
            <w:r>
              <w:rPr>
                <w:rFonts w:hint="eastAsia" w:ascii="Times New Roman" w:hAnsi="Times New Roman" w:eastAsia="方正公文仿宋"/>
                <w:color w:val="auto"/>
                <w:lang w:val="en-US" w:eastAsia="zh-CN" w:bidi="ar"/>
              </w:rPr>
              <w:t>0</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岁婴幼儿科学育儿服务工作；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.组织婴幼儿照护服务培训和讲座；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.负责社区嵌入式托育点、家庭式托育点为主的托育服务机构建设及运行工作；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.做好资金预算支持；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.做好托育政策衔接与宣传；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.做好改扩建嵌入式托育机构的项目申报工作；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.开展辖区托育机构专项督查。</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.开展婴幼儿照护服务政策宣传；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.与辖区幼儿园对接，鼓励开设托班，增加托育数建设；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.摸排上报本辖区</w:t>
            </w:r>
            <w:r>
              <w:rPr>
                <w:rFonts w:hint="eastAsia" w:ascii="Times New Roman" w:hAnsi="Times New Roman" w:eastAsia="方正公文仿宋"/>
                <w:color w:val="auto"/>
                <w:lang w:val="en-US" w:eastAsia="zh-CN" w:bidi="ar"/>
              </w:rPr>
              <w:t>0</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岁常住婴幼儿人口数量；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.配合相关部门新建、改扩建社区嵌入式托育点。</w:t>
            </w:r>
          </w:p>
        </w:tc>
      </w:tr>
      <w:tr>
        <w:tblPrEx>
          <w:tblCellMar>
            <w:top w:w="0" w:type="dxa"/>
            <w:left w:w="108" w:type="dxa"/>
            <w:bottom w:w="0" w:type="dxa"/>
            <w:right w:w="108" w:type="dxa"/>
          </w:tblCellMar>
        </w:tblPrEx>
        <w:trPr>
          <w:cantSplit/>
          <w:trHeight w:val="529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开展老年人关照服务工作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.制定养老服务工作方案；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.负责审批管理养老服务工作机构；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.负责适老化改造工作；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岁（含）以上老人意外伤害险工作；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.负责审批发放高龄人员补助资金，做好违规领取高龄补贴的追缴工作；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.负责办理</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岁（含）以上老年人就餐卡。</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.受理高龄补贴申请，做好初审上报工作，对不符合发放高龄补贴的人员，及时上报区民政局停发补贴；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岁（含）以上老人意外伤害险宣传、爱老幸福食堂就餐卡申办、独居低保户子女排查工作；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.配合有关部门摸排上报养老机构情况；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.根据上级文件谋划项目内容；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.通过招标代理机构以询价方式确定可研报告、地勘、测绘、造价、设计、跟踪审计、房屋鉴定方；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.线上数字财政意向公示；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.对可研方案进行论证，撰写、报送养老服务社区项目可行性研究报告函；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.公开招投标，对监理、施工进行招标；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.施工，聘请检测单位对项目材料进行检测，待施工完毕后进行验收，同时开展跟踪审计及项目的绩效评价；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.报请财审，进行项目决算及定案；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11</w:t>
            </w:r>
            <w:r>
              <w:rPr>
                <w:rFonts w:hint="eastAsia" w:ascii="方正公文仿宋" w:hAnsi="Times New Roman" w:eastAsia="方正公文仿宋"/>
                <w:color w:val="auto"/>
                <w:lang w:val="en-US" w:eastAsia="zh-CN" w:bidi="ar"/>
              </w:rPr>
              <w:t>.负责项目投放使用。</w:t>
            </w:r>
          </w:p>
        </w:tc>
      </w:tr>
      <w:tr>
        <w:tblPrEx>
          <w:tblCellMar>
            <w:top w:w="0" w:type="dxa"/>
            <w:left w:w="108" w:type="dxa"/>
            <w:bottom w:w="0" w:type="dxa"/>
            <w:right w:w="108" w:type="dxa"/>
          </w:tblCellMar>
        </w:tblPrEx>
        <w:trPr>
          <w:cantSplit/>
          <w:trHeight w:val="139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开展妇女“两癌”筛查和低收入“两癌”妇女救助工作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负责妇女“两癌”筛查工作。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区妇女联合会：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负责低收入“两癌”妇女救助工作。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.宣传“两癌”预防知识和救助政策；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.组织人员参加“两癌”筛查；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.收集上报“两癌”低收入妇女救助申请材料；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.配合有关部门发放补助救助资金。</w:t>
            </w:r>
          </w:p>
        </w:tc>
      </w:tr>
      <w:tr>
        <w:tblPrEx>
          <w:tblCellMar>
            <w:top w:w="0" w:type="dxa"/>
            <w:left w:w="108" w:type="dxa"/>
            <w:bottom w:w="0" w:type="dxa"/>
            <w:right w:w="108" w:type="dxa"/>
          </w:tblCellMar>
        </w:tblPrEx>
        <w:trPr>
          <w:cantSplit/>
          <w:trHeight w:val="47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区残疾人联合会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区残疾人联合会：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.负责残疾人证件办理、换证、注销工作；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.负责残疾人教育阶段资助金、残疾人机动车燃油补贴认定发放工作；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.负责残疾人康复服务、残疾人寄宿制机构托养服务、残疾人家庭无障碍改造项目、残疾人辅助器具适配、残疾儿童书屋改造工作；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.加强政策宣传，审核残疾人“两项补贴”申请资料。</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负责残疾人“两项补贴”审核发放工作。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审核和批复专项资金指标，对专项经费使用情况进行监管。</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.收取并公示残疾等级鉴定材料、身份信息材料、死亡证明等材料；初审新办、换证、注销材料初审，统一上交至区政务服务中心办事大厅残联窗口进行办理；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.协助有关部门领取新办、更换的残疾证并发放至有关人员；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.配合有关部门开展各类补贴初审、公示、发放、调整、停发，录入系统；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266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审批发放</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元（不含）以上临时救助资金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.审批公示</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元（不含）以上临时救助对象；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.发放</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元（不含）以上临时救助资金。</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.宣传临时救助相关政策；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.经核算后，对救助金额</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元（不含）以上的，开展入户调查、初审工作，上报救助对象资料；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.经核算后，对救助金额</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元（含）以下的，开展入户调查，规范整理救助对象资料，发放救助资金；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.对急难型救助事项，配合民政局在</w:t>
            </w:r>
            <w:r>
              <w:rPr>
                <w:rFonts w:hint="eastAsia" w:ascii="Times New Roman" w:hAnsi="Times New Roman" w:eastAsia="方正公文仿宋"/>
                <w:color w:val="auto"/>
                <w:lang w:val="en-US" w:eastAsia="zh-CN" w:bidi="ar"/>
              </w:rPr>
              <w:t>24</w:t>
            </w:r>
            <w:r>
              <w:rPr>
                <w:rFonts w:hint="eastAsia" w:ascii="方正公文仿宋" w:hAnsi="Times New Roman" w:eastAsia="方正公文仿宋"/>
                <w:color w:val="auto"/>
                <w:lang w:val="en-US" w:eastAsia="zh-CN" w:bidi="ar"/>
              </w:rPr>
              <w:t>小时内发放救助资金，事后补办相关手续。</w:t>
            </w:r>
          </w:p>
        </w:tc>
      </w:tr>
      <w:tr>
        <w:tblPrEx>
          <w:tblCellMar>
            <w:top w:w="0" w:type="dxa"/>
            <w:left w:w="108" w:type="dxa"/>
            <w:bottom w:w="0" w:type="dxa"/>
            <w:right w:w="108" w:type="dxa"/>
          </w:tblCellMar>
        </w:tblPrEx>
        <w:trPr>
          <w:cantSplit/>
          <w:trHeight w:val="156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.将救助工作所需经费列入财政预算；</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.对流浪乞讨人员发放物资，实施救助；</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.建立流浪乞讨人员信息库，引导公益组织、社工机构提供心理干预、就业帮扶等，防止二次流浪。</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.排查上报流浪乞讨人员信息；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.配合有关部门救助流浪乞讨人员；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.配合有关部门开展流浪乞讨人员劝返工作。</w:t>
            </w:r>
          </w:p>
        </w:tc>
      </w:tr>
      <w:tr>
        <w:tblPrEx>
          <w:tblCellMar>
            <w:top w:w="0" w:type="dxa"/>
            <w:left w:w="108" w:type="dxa"/>
            <w:bottom w:w="0" w:type="dxa"/>
            <w:right w:w="108" w:type="dxa"/>
          </w:tblCellMar>
        </w:tblPrEx>
        <w:trPr>
          <w:cantSplit/>
          <w:trHeight w:val="362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开展红十字会、社会慈善福利救助工作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.加强基层组织建设、团体会员单位建设、发展志愿者会员组织建设；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.开展基层红十字会应急救援救灾救护工作；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.开展应急救护培训，普及应急救护防灾避险和卫生健康知识，组织志愿者参与救护；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.开展“三救三献”工作；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.组织开展红十字志愿服务工作；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.组织开展各类公益募捐及宣传工作。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.负责慈善组织的成立、撤销等管理工作；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.协调社会慈善福利机构开展救助工作。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.配合做好志愿者会员招募、动员工作；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.配合开展人道主义和应急救护、群众性健康知识宣传普及工作；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.组织动员群众参加应急救护培训；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.配合开展应急救援救灾救护，发放人道救援物资；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.宣传、引导有意愿有能力的企业、社会组织和个人积极参与公益募捐、社会慈善福利救助活动；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.做好团体会员单位申报工作；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.协助开展与其职责相关的其他人道主义及志愿者服务活动;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.协调社会慈善福利机构开展救助工作。</w:t>
            </w:r>
          </w:p>
        </w:tc>
      </w:tr>
      <w:tr>
        <w:tblPrEx>
          <w:tblCellMar>
            <w:top w:w="0" w:type="dxa"/>
            <w:left w:w="108" w:type="dxa"/>
            <w:bottom w:w="0" w:type="dxa"/>
            <w:right w:w="108" w:type="dxa"/>
          </w:tblCellMar>
        </w:tblPrEx>
        <w:trPr>
          <w:cantSplit/>
          <w:trHeight w:val="536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开展退役军人服务和双拥工作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.组织开展双拥工作，制定双拥考核细则，明确成员单位职责；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.落实各项退役安置、优待抚恤、关爱帮扶基金等政策；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岁以上农村籍退役士兵、老烈士子女、两参人员的身份、生存状况认定及补助复核上报工作；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.负责退役军人子女助学工作；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.开展退役军人和其他优抚对象优待证申领；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.开展立功受奖军人家庭送“喜报”工作；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.开展退役军人就业服务、创办企业排查工作；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.开展“防癌抗癌专属保险卡”捐赠活动；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.开展“双拥”标识推进工作；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.协调解决涉军领域重要信访问题；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11</w:t>
            </w:r>
            <w:r>
              <w:rPr>
                <w:rFonts w:hint="eastAsia" w:ascii="方正公文仿宋" w:hAnsi="Times New Roman" w:eastAsia="方正公文仿宋"/>
                <w:color w:val="auto"/>
                <w:lang w:val="en-US" w:eastAsia="zh-CN" w:bidi="ar"/>
              </w:rPr>
              <w:t>.对骗取关爱帮扶基金的行为进行核实，做好资金追回工作。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.按照双拥工作细则，开展各类活动，整理工作资料；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.配合有关部门落实各项退役安置、优待抚恤、关爱帮扶基金等政策；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岁以上农村籍退役士兵、老烈士子女、两参人员的身份、生存状况认定及补助初审上报工作；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.配合有关部门开展退役军人子女助学工作；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.配合有关部门开展退役军人和其他优抚对象优待证申领；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.配合有关部门开展立功受奖军人家庭送“喜报”工作；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.配合有关部门开展退役军人就业服务、创办企业排查工作；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.配合有关部门开展“防癌抗癌专属保险卡”捐赠活动；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.配合有关部门开展“双拥”标识推进工作：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.配合开展骗取关爱帮扶基金的调查核实工作。</w:t>
            </w:r>
          </w:p>
        </w:tc>
      </w:tr>
      <w:tr>
        <w:tblPrEx>
          <w:tblCellMar>
            <w:top w:w="0" w:type="dxa"/>
            <w:left w:w="108" w:type="dxa"/>
            <w:bottom w:w="0" w:type="dxa"/>
            <w:right w:w="108" w:type="dxa"/>
          </w:tblCellMar>
        </w:tblPrEx>
        <w:trPr>
          <w:cantSplit/>
          <w:trHeight w:val="27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开展保障性住房管理工作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.按照上级有关部门要求制定公共租赁住房工作方案；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.开展申请受理登记、入户调查、多部门核查，做好公示工作。开展现场电脑摇号分配房屋，办理入住手续；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.审核公租房补贴工作；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.开展复审、更名、清退、家庭成员核减、租金催缴、转租转借清查、违规发放住房补贴追缴等工作。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.开展申请受理登记、入户调查、多部门核查，做好公示工作，配合区城乡建设局进行现场电脑摇号分配房屋，联系申请人办理入住手续；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.配合有关部门开展公租房补贴申报工作；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.配合有关部门开展复审、更名、家庭成员核减等工作。</w:t>
            </w:r>
          </w:p>
        </w:tc>
      </w:tr>
      <w:tr>
        <w:tblPrEx>
          <w:tblCellMar>
            <w:top w:w="0" w:type="dxa"/>
            <w:left w:w="108" w:type="dxa"/>
            <w:bottom w:w="0" w:type="dxa"/>
            <w:right w:w="108" w:type="dxa"/>
          </w:tblCellMar>
        </w:tblPrEx>
        <w:trPr>
          <w:cantSplit/>
          <w:trHeight w:val="430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开展住宅小区物业企业的监管工作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.负责建立健全物业管理相关制度规定，规范物业管理和服务行为；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.组织辖区物业企业开展培训；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.监督管理辖区物业公司服务质量和经营活动，督促物业公司对公共收益等内容进行公开公示，负责处理职责范围内物业管理服务投诉问题，配合开展物业服务质量星级化评定；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.负责处理房地产开发历史遗留问题；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.负责住宅专项应急维修资金监管和使用。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负责做好物业小区特种设备安全隐患排查整治工作。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负责查处物业费、停车费、采暖费等乱收费问题。</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.配合有关部门组织辖区物业企业参加业务培训；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.配合有关部门指导物业小区开展物业服务，负责处理职责范围内物业管理服务投诉问题；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.配合有关部门监督物业公司对公共收益等内容进行公开公示；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.配合有关部门指导做好住宅小区专项维修资金使用；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.配合有关部门上报物业费、停车费、采暖费等乱收费问题；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.配合有关部门上报房地产开发历史遗留问题。</w:t>
            </w:r>
          </w:p>
        </w:tc>
      </w:tr>
      <w:tr>
        <w:tblPrEx>
          <w:tblCellMar>
            <w:top w:w="0" w:type="dxa"/>
            <w:left w:w="108" w:type="dxa"/>
            <w:bottom w:w="0" w:type="dxa"/>
            <w:right w:w="108" w:type="dxa"/>
          </w:tblCellMar>
        </w:tblPrEx>
        <w:trPr>
          <w:cantSplit/>
          <w:trHeight w:val="194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.制定垃圾分类督导检查工作方案；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.开展垃圾分类巡查工作；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.制作下发垃圾混投企业或个体整改责令通知书或行政处罚决定书。</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.开展垃圾分类宣传活动，加大宣传力度；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.引导居民形成垃圾分类投放习惯；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.协助相关部门开展垃圾分类劝导工作。</w:t>
            </w:r>
          </w:p>
        </w:tc>
      </w:tr>
      <w:tr>
        <w:tblPrEx>
          <w:tblCellMar>
            <w:top w:w="0" w:type="dxa"/>
            <w:left w:w="108" w:type="dxa"/>
            <w:bottom w:w="0" w:type="dxa"/>
            <w:right w:w="108" w:type="dxa"/>
          </w:tblCellMar>
        </w:tblPrEx>
        <w:trPr>
          <w:cantSplit/>
          <w:trHeight w:val="156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开展民办教师补贴发放工作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.统计汇总民办教师情况；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.负责民办教师认定工作；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.发放民办教师补贴。</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.摸排上报辖区民办教师信息；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Style w:val="18"/>
                <w:rFonts w:hint="eastAsia" w:hAnsi="方正公文黑体" w:eastAsia="方正公文黑体"/>
                <w:color w:val="auto"/>
                <w:lang w:val="en-US" w:eastAsia="zh-CN" w:bidi="ar"/>
              </w:rPr>
              <w:t>六、经济发展（7项）</w:t>
            </w:r>
          </w:p>
        </w:tc>
      </w:tr>
      <w:tr>
        <w:tblPrEx>
          <w:tblCellMar>
            <w:top w:w="0" w:type="dxa"/>
            <w:left w:w="108" w:type="dxa"/>
            <w:bottom w:w="0" w:type="dxa"/>
            <w:right w:w="108" w:type="dxa"/>
          </w:tblCellMar>
        </w:tblPrEx>
        <w:trPr>
          <w:cantSplit/>
          <w:trHeight w:val="491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开展重点项目储备、申报工作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.负责项目可行性研究报告等的审核备案与项目审批、监督检查。在“省投资项目在线审批监管平台”受理审批、核准、备案申请；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.做好经济、发展改革领域问题隐患排查整治工作。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.负责前期审核和批复资金指标；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.对项目实施中的经费使用情况进行监管。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.对农业（特色）项目进行审核申报；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.编制本级负责项目的实施方案；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.实施监督、组织验收。</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.审核备案各类项目实施用地；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.对项目核准、备案、建设实施过程中的违法违规行为及时核实、处理。</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.配合有关部门开展征集梳理政府、社会、为民办实事、五年规划、乡村振兴等项目信息，上报项目统计表；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.上报项目进展、开复工情况；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.开展经济、发展改革领域问题隐患排查工作，并上报相关问题线索。</w:t>
            </w:r>
          </w:p>
        </w:tc>
      </w:tr>
      <w:tr>
        <w:tblPrEx>
          <w:tblCellMar>
            <w:top w:w="0" w:type="dxa"/>
            <w:left w:w="108" w:type="dxa"/>
            <w:bottom w:w="0" w:type="dxa"/>
            <w:right w:w="108" w:type="dxa"/>
          </w:tblCellMar>
        </w:tblPrEx>
        <w:trPr>
          <w:cantSplit/>
          <w:trHeight w:val="203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开展企业入库、升规纳统摸排工作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.依据达标企业入库和升规纳统工作指标开展工作；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.配合开展入库达标企业的核实工作；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.动态跟踪企业运行情况。</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区统计局：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做好相关核实和统计工作。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.宣传升规纳统政策；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.摸排上报达标企业入库及升规纳统企业目录；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.动态跟踪企业运行情况。</w:t>
            </w:r>
          </w:p>
        </w:tc>
      </w:tr>
      <w:tr>
        <w:tblPrEx>
          <w:tblCellMar>
            <w:top w:w="0" w:type="dxa"/>
            <w:left w:w="108" w:type="dxa"/>
            <w:bottom w:w="0" w:type="dxa"/>
            <w:right w:w="108" w:type="dxa"/>
          </w:tblCellMar>
        </w:tblPrEx>
        <w:trPr>
          <w:cantSplit/>
          <w:trHeight w:val="22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开展“一刻钟”便民生活圈城市建设，做好发展银发经济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.开展“一刻钟”便民生活圈建设项目；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.负责“菜篮子”产品零售网点上报审批、补助资金发放工作。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负责牵头发展银发经济项目申报及实施工作。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.配合有关部门征集“一刻钟”便民生活圈建设的意见，收集资料；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.配合开展“一刻钟”便民生活圈建设工作；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.配合有关部门上报“菜篮子”产品零售网点申请资料；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.配合有关部门申报发展银发经济项目。</w:t>
            </w:r>
          </w:p>
        </w:tc>
      </w:tr>
      <w:tr>
        <w:tblPrEx>
          <w:tblCellMar>
            <w:top w:w="0" w:type="dxa"/>
            <w:left w:w="108" w:type="dxa"/>
            <w:bottom w:w="0" w:type="dxa"/>
            <w:right w:w="108" w:type="dxa"/>
          </w:tblCellMar>
        </w:tblPrEx>
        <w:trPr>
          <w:cantSplit/>
          <w:trHeight w:val="164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开展电商服务工作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.执行电子商务相关标准、规范；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.组织实施省市电子商务发展规划和政策落实；</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.拓展电子商务应用。</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.宣传电子商务进农村相关政策；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.配合有关部门上报电商站点运行情况；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.推介特色产品。</w:t>
            </w:r>
          </w:p>
        </w:tc>
      </w:tr>
      <w:tr>
        <w:tblPrEx>
          <w:tblCellMar>
            <w:top w:w="0" w:type="dxa"/>
            <w:left w:w="108" w:type="dxa"/>
            <w:bottom w:w="0" w:type="dxa"/>
            <w:right w:w="108" w:type="dxa"/>
          </w:tblCellMar>
        </w:tblPrEx>
        <w:trPr>
          <w:cantSplit/>
          <w:trHeight w:val="224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开展招商引资、盘活闲置资产工作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.负责制定招商引资年度计划，调研全区招商引资情况，加强招商引资协调工作，解决企业投资中用地、水电供应、人才支持等存在的困难和问题；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.负责统计闲置资产，制定闲置资产盘活方案，加强闲置资产盘活协调工作。</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.上报项目，对接洽谈企业；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.联合有关部门开展闲置资产盘活工作；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.推进招商引资工作。</w:t>
            </w:r>
          </w:p>
        </w:tc>
      </w:tr>
      <w:tr>
        <w:tblPrEx>
          <w:tblCellMar>
            <w:top w:w="0" w:type="dxa"/>
            <w:left w:w="108" w:type="dxa"/>
            <w:bottom w:w="0" w:type="dxa"/>
            <w:right w:w="108" w:type="dxa"/>
          </w:tblCellMar>
        </w:tblPrEx>
        <w:trPr>
          <w:cantSplit/>
          <w:trHeight w:val="288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组织实施各类普查工作，开展普查培训、确定普查范围，指导普查工作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.制定人口普查、经济普查、农业普查、</w:t>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%人口抽样调查、人口变动抽样、劳动力调查工作方案，召开有关会议；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.确定普查范围；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.聘用培训各级指导员、调查员；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.配备普查物资；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.全程指导普查工作，解决遇到的困难和问题。</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.选聘上报人口、经济农业普查、劳动力“两员”人员；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.配合有关部门划分人口普查小区，确定经济、劳动力范围；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.上报普查和调查工作进度；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.开展普查调查数据清查改错工作；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.确认普查和调查结果；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.配合开展人口变动抽样调查工作。</w:t>
            </w:r>
          </w:p>
        </w:tc>
      </w:tr>
      <w:tr>
        <w:tblPrEx>
          <w:tblCellMar>
            <w:top w:w="0" w:type="dxa"/>
            <w:left w:w="108" w:type="dxa"/>
            <w:bottom w:w="0" w:type="dxa"/>
            <w:right w:w="108" w:type="dxa"/>
          </w:tblCellMar>
        </w:tblPrEx>
        <w:trPr>
          <w:cantSplit/>
          <w:trHeight w:val="501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开展政府投资项目立项审批及监管工作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负责项目可行性研究报告等的审核与项目审批。在省投资项目在线审批监管平台受理审批、核准、备案申请。</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.负责前期审核和批复资金指标；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.对项目实施中的经费使用情况及固定资产收益情况进行监管。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.对农业类项目进行规划布局、前期审核，并将可行项目纳入项目库；</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.编制本级负责项目的实施方案；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.实施监督、组织验收等工作。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区统计局：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.开展固定资产投资项目业务指导；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.综合整理和提供可公开的固定资产基本统计数据；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.组织统计人员开展业务培训。</w:t>
            </w:r>
          </w:p>
        </w:tc>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.征集上报各类投资项目；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.按新建、续建项目分类整理，填报重点项目表；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Style w:val="18"/>
                <w:rFonts w:hint="eastAsia" w:hAnsi="方正公文黑体" w:eastAsia="方正公文黑体"/>
                <w:color w:val="auto"/>
                <w:lang w:val="en-US" w:eastAsia="zh-CN" w:bidi="ar"/>
              </w:rPr>
              <w:t>七、乡村振兴（7项）</w:t>
            </w:r>
          </w:p>
        </w:tc>
      </w:tr>
      <w:tr>
        <w:tblPrEx>
          <w:tblCellMar>
            <w:top w:w="0" w:type="dxa"/>
            <w:left w:w="108" w:type="dxa"/>
            <w:bottom w:w="0" w:type="dxa"/>
            <w:right w:w="108" w:type="dxa"/>
          </w:tblCellMar>
        </w:tblPrEx>
        <w:trPr>
          <w:cantSplit/>
          <w:trHeight w:val="35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.负责辖区内动物疫病预防与控制工作，对动物疫病的发生、流行等情况进行监测及上报、处置；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.做好全区村级防疫员的监督管理及防疫技术培训教育；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.加强牲畜屠宰活动监督检查，建立健全随机抽查机制，整治存在私屠乱宰的场所；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.协调配备各类防疫物资和疫苗，做好动物免疫接种工作；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.做好病死畜禽无害化处置补贴申请发放；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.会同市级农业综合行政执法机构依法对违法违规问题进行处理，按照省政府行政处罚事项授权情况，实施行政处罚或强制。</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.加强动物防疫、牲畜定点屠宰的宣传教育；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.协助做好牲畜屠宰监督管理工作，对排查发现私屠乱宰等问题上报区农业农村局；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.对辖区公共场所和乡村发现的死亡畜禽，做好无害化处置工作，对人力无法完成病死畜托运和深埋工作，上报相关部门；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.排查上报发现的私屠乱宰现象，协助清理整治；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.配合相关部门开展动物免疫接种工作。</w:t>
            </w:r>
          </w:p>
        </w:tc>
      </w:tr>
      <w:tr>
        <w:tblPrEx>
          <w:tblCellMar>
            <w:top w:w="0" w:type="dxa"/>
            <w:left w:w="108" w:type="dxa"/>
            <w:bottom w:w="0" w:type="dxa"/>
            <w:right w:w="108" w:type="dxa"/>
          </w:tblCellMar>
        </w:tblPrEx>
        <w:trPr>
          <w:cantSplit/>
          <w:trHeight w:val="170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.开展种子、化肥、兽药经营手续的资质审批；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.对辖区种子、化肥、兽药、饲料和饲料添加剂质量安全进行监督检查；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.会同市级农业综合行政执法部门依法查处涉及兽药、饲料和饲料添加剂等的违法违规行为。</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.对辖区种子、化肥、兽药、饲料和饲料添加剂质量安全进行监督检查；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.对发现的违法违规行为及时制止并上报；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.协助相关部门对农业投入品违法违规问题进行处置。</w:t>
            </w:r>
          </w:p>
        </w:tc>
      </w:tr>
      <w:tr>
        <w:tblPrEx>
          <w:tblCellMar>
            <w:top w:w="0" w:type="dxa"/>
            <w:left w:w="108" w:type="dxa"/>
            <w:bottom w:w="0" w:type="dxa"/>
            <w:right w:w="108" w:type="dxa"/>
          </w:tblCellMar>
        </w:tblPrEx>
        <w:trPr>
          <w:cantSplit/>
          <w:trHeight w:val="320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开展乡村振兴项目申报立项工作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.指导镇（街道）开展项目申报工作；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.负责项目审批工作；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.负责项目日常监管工作。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核实项目用地土地性质。</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.项目谋划。摸排辖区意向类项目，初步谋划项目实施内容及思路，投资情况；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.项目申报。待项目实施方形成可行性研究报告、项目实施方案后，报区自然资源和林业局办理土地备案手续；向区农业农村局提交立项申请，区农业农村局进行项目审核下达批复；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.项目实施。监督项目实施方按照批复内容实施农业设施建设；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.日常监管。配合区自然资源和林业局、区农业农村局对已建成的设施农业项目经营情况进行检查，上报非法占用设施农业用地等行为。</w:t>
            </w:r>
          </w:p>
        </w:tc>
      </w:tr>
      <w:tr>
        <w:tblPrEx>
          <w:tblCellMar>
            <w:top w:w="0" w:type="dxa"/>
            <w:left w:w="108" w:type="dxa"/>
            <w:bottom w:w="0" w:type="dxa"/>
            <w:right w:w="108" w:type="dxa"/>
          </w:tblCellMar>
        </w:tblPrEx>
        <w:trPr>
          <w:cantSplit/>
          <w:trHeight w:val="107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.开展农产品质量安全监管业务培训；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.开展农产品安全抽检工作；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.加强农产品质量安全监督管理，处置有关问题。</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.开展农产品质量安全监督管理宣传教育；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.配合做好农产品抽检工作；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.配合开展问题处置工作。</w:t>
            </w:r>
          </w:p>
        </w:tc>
      </w:tr>
      <w:tr>
        <w:tblPrEx>
          <w:tblCellMar>
            <w:top w:w="0" w:type="dxa"/>
            <w:left w:w="108" w:type="dxa"/>
            <w:bottom w:w="0" w:type="dxa"/>
            <w:right w:w="108" w:type="dxa"/>
          </w:tblCellMar>
        </w:tblPrEx>
        <w:trPr>
          <w:cantSplit/>
          <w:trHeight w:val="150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做好农村厕所革命工作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.实施厕所革命工作；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.负责改建、新建厕所项目建设，做好验收工作；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.拨付补助资金；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.负责问题厕所整治工作。</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.宣传厕所革命政策；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.申报符合条件的新建、改建厕所项目；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.配合有关部门新建、改建厕所；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.配合有关部门发放补助资金。</w:t>
            </w:r>
          </w:p>
        </w:tc>
      </w:tr>
      <w:tr>
        <w:tblPrEx>
          <w:tblCellMar>
            <w:top w:w="0" w:type="dxa"/>
            <w:left w:w="108" w:type="dxa"/>
            <w:bottom w:w="0" w:type="dxa"/>
            <w:right w:w="108" w:type="dxa"/>
          </w:tblCellMar>
        </w:tblPrEx>
        <w:trPr>
          <w:cantSplit/>
          <w:trHeight w:val="144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做好农业技术推广工作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.充实和加强基层农业技术推广队伍；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.组织开展农技推广培训；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.制定本辖区新技术、新品种推广目录。</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.组织人员参加技术培训；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.配合有关单位开展农业新技术、新品种的推广工作。</w:t>
            </w:r>
          </w:p>
        </w:tc>
      </w:tr>
      <w:tr>
        <w:tblPrEx>
          <w:tblCellMar>
            <w:top w:w="0" w:type="dxa"/>
            <w:left w:w="108" w:type="dxa"/>
            <w:bottom w:w="0" w:type="dxa"/>
            <w:right w:w="108" w:type="dxa"/>
          </w:tblCellMar>
        </w:tblPrEx>
        <w:trPr>
          <w:cantSplit/>
          <w:trHeight w:val="310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开展农业防灾减灾工作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.制定农业防灾减灾工作应急预案，强化精准指导；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.做好农业灾害统计、审核及上报工作；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.做好灾后救助和农业生产恢复工作；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.开展农业救灾项目资金补贴审核，报上级部门审批，发放上级下达资金。</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.转发极端灾害天气预警信息，提醒做好防灾准备；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 xml:space="preserve">.统计上报受灾情况，对受灾主体提出的农业受灾项目和资金申请进行初审并及时上报；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.配合做好灾情分配方案的制定、公开公示工作，资金下达后，做好分配公示；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.协助相关部门做好资金补贴发放和使用的监督检查，协助做好灾后救助和农业生产恢复工作。</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Style w:val="18"/>
                <w:rFonts w:hint="eastAsia" w:hAnsi="方正公文黑体" w:eastAsia="方正公文黑体"/>
                <w:color w:val="auto"/>
                <w:lang w:val="en-US" w:eastAsia="zh-CN" w:bidi="ar"/>
              </w:rPr>
              <w:t>八、城乡建设（3项）</w:t>
            </w:r>
          </w:p>
        </w:tc>
      </w:tr>
      <w:tr>
        <w:tblPrEx>
          <w:tblCellMar>
            <w:top w:w="0" w:type="dxa"/>
            <w:left w:w="108" w:type="dxa"/>
            <w:bottom w:w="0" w:type="dxa"/>
            <w:right w:w="108" w:type="dxa"/>
          </w:tblCellMar>
        </w:tblPrEx>
        <w:trPr>
          <w:cantSplit/>
          <w:trHeight w:val="30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.负责统计申报全区老旧小区改造、电梯更新改造项目，拟定辖区老旧小区改造计划；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.开展招投标、施工许可证办理等工作；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.做好项目实施监管、竣工验收和竣工备案工作；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.处理项目投诉。</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.宣传老旧小区改造、电梯更新改造政策；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.摸排上报改造小区和电梯情况，开展民意调查工作；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.申报前动员业主拆除小区内影响改造实施的建筑，完成居民自筹资金的收取等工作；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.配合有关部门做好老旧小区改造、电梯更新改造项目工程验收；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233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.开展全区城乡危旧房屋、自建房屋危险性鉴定和技术服务；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.建立城乡危旧房屋、自建房屋安全动态监测和保障长效机制；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.建立城乡危旧房屋、自建房屋数据库及</w:t>
            </w:r>
            <w:r>
              <w:rPr>
                <w:rFonts w:hint="eastAsia" w:ascii="Times New Roman" w:hAnsi="Times New Roman" w:eastAsia="方正公文仿宋"/>
                <w:color w:val="auto"/>
                <w:lang w:val="en-US" w:eastAsia="zh-CN" w:bidi="ar"/>
              </w:rPr>
              <w:t>C</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D</w:t>
            </w:r>
            <w:r>
              <w:rPr>
                <w:rFonts w:hint="eastAsia" w:ascii="方正公文仿宋" w:hAnsi="Times New Roman" w:eastAsia="方正公文仿宋"/>
                <w:color w:val="auto"/>
                <w:lang w:val="en-US" w:eastAsia="zh-CN" w:bidi="ar"/>
              </w:rPr>
              <w:t>级危房台账。</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.开展城乡危旧房屋、自建房相关政策宣传；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.开展常态化动态监测，发现存在安全隐患的住房，及时上报；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.配合住建部门对鉴定为</w:t>
            </w:r>
            <w:r>
              <w:rPr>
                <w:rFonts w:hint="eastAsia" w:ascii="Times New Roman" w:hAnsi="Times New Roman" w:eastAsia="方正公文仿宋"/>
                <w:color w:val="auto"/>
                <w:lang w:val="en-US" w:eastAsia="zh-CN" w:bidi="ar"/>
              </w:rPr>
              <w:t>C</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D</w:t>
            </w:r>
            <w:r>
              <w:rPr>
                <w:rFonts w:hint="eastAsia" w:ascii="方正公文仿宋" w:hAnsi="Times New Roman" w:eastAsia="方正公文仿宋"/>
                <w:color w:val="auto"/>
                <w:lang w:val="en-US" w:eastAsia="zh-CN" w:bidi="ar"/>
              </w:rPr>
              <w:t>级的住房，采取管护措施，及时做好人员撤离及安置工作；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.配合相关部门开展低收入认定工作。</w:t>
            </w:r>
          </w:p>
        </w:tc>
      </w:tr>
      <w:tr>
        <w:tblPrEx>
          <w:tblCellMar>
            <w:top w:w="0" w:type="dxa"/>
            <w:left w:w="108" w:type="dxa"/>
            <w:bottom w:w="0" w:type="dxa"/>
            <w:right w:w="108" w:type="dxa"/>
          </w:tblCellMar>
        </w:tblPrEx>
        <w:trPr>
          <w:cantSplit/>
          <w:trHeight w:val="52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开展农村危房改造和抗震改造，落实改造补助资金补偿政策，监督工程施工，做好竣工验收和群众回迁工作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.联合镇（街道）常态化开展农村房屋安全隐患排查整治；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.建立农村危房安全常态化巡查机制；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.做好农村危房改造和抗震改造。建立农村低收入群体住房安全动态监测和保障长效机制；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.组织农村危房（抗震）改造项目申报，对镇（街道）申报的情况进行审核；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.制定项目年度实施方案，明确建设标准、建设时限等要求，并做好“全国农村危房改造信息系统”录入工作；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.指导镇（街道）做好项目协议签订、项目实施等工作；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.加强农村危房（抗震）改造项目日常巡查检查、质量监督和技术指导；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.组织镇（街道）、村做好项目竣工验收；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.在项目竣工验收</w:t>
            </w:r>
            <w:r>
              <w:rPr>
                <w:rFonts w:hint="eastAsia" w:ascii="Times New Roman" w:hAnsi="Times New Roman" w:eastAsia="方正公文仿宋"/>
                <w:color w:val="auto"/>
                <w:lang w:val="en-US" w:eastAsia="zh-CN" w:bidi="ar"/>
              </w:rPr>
              <w:t>30</w:t>
            </w:r>
            <w:r>
              <w:rPr>
                <w:rFonts w:hint="eastAsia" w:ascii="方正公文仿宋" w:hAnsi="Times New Roman" w:eastAsia="方正公文仿宋"/>
                <w:color w:val="auto"/>
                <w:lang w:val="en-US" w:eastAsia="zh-CN" w:bidi="ar"/>
              </w:rPr>
              <w:t>日内，配合财政部门将补助资金发放至农民群众“一卡通”；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.做好项目资料收集归档。</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6" w:lineRule="exact"/>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.在群众自查基础上，定期组织开展农村住房安全排查，及时发现并采取有效措施消除安全隐患；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.将符合条件的低收入群体危房及时纳入动态监测范围，及时上报区城乡建设局审核；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.加强农村危房（抗震）改造项目日常巡查检查；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.开展农村危房（抗震）项目竣工验收；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.改造完成后，协助做好群众回迁安置和跟踪回访。</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Style w:val="18"/>
                <w:rFonts w:hint="eastAsia" w:hAnsi="方正公文黑体" w:eastAsia="方正公文黑体"/>
                <w:color w:val="auto"/>
                <w:lang w:val="en-US" w:eastAsia="zh-CN" w:bidi="ar"/>
              </w:rPr>
              <w:t>九、文化和旅游（8项）</w:t>
            </w:r>
          </w:p>
        </w:tc>
      </w:tr>
      <w:tr>
        <w:tblPrEx>
          <w:tblCellMar>
            <w:top w:w="0" w:type="dxa"/>
            <w:left w:w="108" w:type="dxa"/>
            <w:bottom w:w="0" w:type="dxa"/>
            <w:right w:w="108" w:type="dxa"/>
          </w:tblCellMar>
        </w:tblPrEx>
        <w:trPr>
          <w:cantSplit/>
          <w:trHeight w:val="16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.对辖区内的文化旅游资源进行摸底，申报文旅项目；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.协调提供各类文旅项目的前期保障工作；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.对接有关部门，跟进实施文旅项目建设。</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.向区级文体旅游部门提供文化旅游特色资源信息，争取项目支持；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.配合落实项目建设用地，保障项目顺利实施。</w:t>
            </w:r>
          </w:p>
        </w:tc>
      </w:tr>
      <w:tr>
        <w:tblPrEx>
          <w:tblCellMar>
            <w:top w:w="0" w:type="dxa"/>
            <w:left w:w="108" w:type="dxa"/>
            <w:bottom w:w="0" w:type="dxa"/>
            <w:right w:w="108" w:type="dxa"/>
          </w:tblCellMar>
        </w:tblPrEx>
        <w:trPr>
          <w:cantSplit/>
          <w:trHeight w:val="16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.负责制定全区各类文化体育方案；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.组织开展各类文化体育活动；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.负责全区各类文化体育宣传工作；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.加强基层群众文艺团队建设;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.负责区域内的公共文化体育设施的监督管理。</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.宣传省市区级文化体育活动；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.组织开展丰富多彩的群众文艺活动，积极选派文艺团队参加上级组织的文体活动；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.组织人员参加体育指导员培训工作；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.加强群众文艺团队建设。</w:t>
            </w:r>
          </w:p>
        </w:tc>
      </w:tr>
      <w:tr>
        <w:tblPrEx>
          <w:tblCellMar>
            <w:top w:w="0" w:type="dxa"/>
            <w:left w:w="108" w:type="dxa"/>
            <w:bottom w:w="0" w:type="dxa"/>
            <w:right w:w="108" w:type="dxa"/>
          </w:tblCellMar>
        </w:tblPrEx>
        <w:trPr>
          <w:cantSplit/>
          <w:trHeight w:val="246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.负责全区文化活动服务站点建设工作，统筹规划和组织实施辖区公共图书馆建设工作，配备各类图书和阅读配套设施；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.指导文化服务站日常管理工作；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.开展对全民健身场地和健身器材的申报和器材维护更新更换工作；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.加大对乡镇（街道）综合文化站、村（社区）图书室的扶持投入，将所需经费列入本级政府预算，并及时、足额拨付。</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.推进街道、村(社区）文化图书室、农家书屋建设，做好图书室日常管理维护工作，上报所需书籍目录；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.统计上报文化站基础设施、健身场地和健身器材新增、破损、缺失情况；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.开放图书室，提供借阅图书服务；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.开放文化体育设施。</w:t>
            </w:r>
          </w:p>
        </w:tc>
      </w:tr>
      <w:tr>
        <w:tblPrEx>
          <w:tblCellMar>
            <w:top w:w="0" w:type="dxa"/>
            <w:left w:w="108" w:type="dxa"/>
            <w:bottom w:w="0" w:type="dxa"/>
            <w:right w:w="108" w:type="dxa"/>
          </w:tblCellMar>
        </w:tblPrEx>
        <w:trPr>
          <w:cantSplit/>
          <w:trHeight w:val="19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开展乡村旅游接待点、星级酒店、农家院评定和管理工作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.对符合条件的乡村旅游接待点向上级文体旅游部门请示评定等级，并报送申请资料；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.对纳入评定的星级乡村旅游接待点开展日常监督指导；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.对辖区内乡村旅游接待点、星级酒店开展普查，摸清乡村旅游接待点数量经营状况、硬件设施、服务技能、后厨卫生、饭菜质量、接待能力等。</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.对辖区内乡村旅游接待点、星级酒店、农家院进行排查，配合做好日常管理，上报有关信息；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.引导鼓励辖区内乡村旅游接待点、农家院、星级酒店进行升级改造，配合做好等级评定工作；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.推荐上报符合条件的乡村旅游接待点和星级酒店名单，配合做好申报工作。</w:t>
            </w:r>
          </w:p>
        </w:tc>
      </w:tr>
      <w:tr>
        <w:tblPrEx>
          <w:tblCellMar>
            <w:top w:w="0" w:type="dxa"/>
            <w:left w:w="108" w:type="dxa"/>
            <w:bottom w:w="0" w:type="dxa"/>
            <w:right w:w="108" w:type="dxa"/>
          </w:tblCellMar>
        </w:tblPrEx>
        <w:trPr>
          <w:cantSplit/>
          <w:trHeight w:val="304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.负责拟定全区文化旅游宣传推介方案，组织开展各类文旅宣传活动，负责本级文化和旅游相关网站以及新媒体平台的管理；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.组织协调重点旅游区域、目的地和线路等各类宣传和促销工作；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.加强导游队伍建设、监督、管理工作；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.处理游客投诉，整治旅游安全隐患，联合相关部门处置突发性旅游事故；</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.联合有关部门开展旅游旺季市场服务保障工作。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.会同市级文化综合行政执法机构对违法行为进行查处。</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.开展旅游推介活动；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.配合相关部门对辖区旅游市场进行安全隐患、经营状况、物价情况等排查，协助开展旅游旺季市场服务保障工作；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148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.举办“文化三下乡”“大美青海文艺轻骑兵”“百姓大舞台”等文化惠民活动；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.落实活动资金；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.做好协调服务工作。</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.协助做好“文化三下乡”“大美青海文艺轻骑兵”“百姓大舞台”等各类文艺演出的场地准备工作；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.做好组织现场群众观演、秩序维护等相关工作。</w:t>
            </w:r>
          </w:p>
        </w:tc>
      </w:tr>
      <w:tr>
        <w:tblPrEx>
          <w:tblCellMar>
            <w:top w:w="0" w:type="dxa"/>
            <w:left w:w="108" w:type="dxa"/>
            <w:bottom w:w="0" w:type="dxa"/>
            <w:right w:w="108" w:type="dxa"/>
          </w:tblCellMar>
        </w:tblPrEx>
        <w:trPr>
          <w:cantSplit/>
          <w:trHeight w:val="464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.负责全区文物保护和非遗传承工作；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.开展文物保护、非遗政策宣传工作；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.督促文物保护单位开展日常巡查检查，整治发现的问题；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.依托上级行业主管部门和有资质的机构，做好辖区内文物的认定管理工作；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.加强对全区文物市场的管理，会同市级文化综合行政执法机构依法查处文物经营单位和个人违反文物法律、法规和规章的行为；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.会同有关部门处理文物保护重大问题，对查处盗窃、盗掘、破坏、走私和非法经营文物的大要案提出专业性意见，联合相关部门打击文物违法犯罪行为；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.联合公安部门打击文物违法犯罪行为；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.挖掘申报上级非遗项目和传承人，认定区级非遗项目和传承人，做好评选的记录、建档等工作。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联合有关部门打击文物违法犯罪活动。</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.开展文物、非物质文化遗产保护宣传工作，介绍申报条件和流程，鼓励符合条件的传承人参加认定；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.摸排辖区非物质文化遗产及非遗传承人，建立相关信息台账，指导做好认定申请材料的上报工作；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.协助相关部门开展非物质文化遗产保护和传承工作；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38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.做好娱乐场所、营业性演出场所、互联网上网服务营业场所经营活动的审批工作；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.监督检查辖区内娱乐场所、营业性演出场所、网吧等娱乐场所规范化开展经营活动；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.对符合条件的娱乐场所、营业性演出场所、互联网上网服务营业场所办理许可证并进行监督；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.对娱乐场所、演出场所、网吧、文化市场等存在的违法行为进行查处。</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.在职责范围内，负责本行政区域内营业性演出的监督管理工作；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.对营业场所经营单位登记注册和营业执照的管理，并依法查处无照经营活动。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.负责对娱乐场所消防、治安状况的监督管理；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.负责对互联网上网服务营业场所经营单位的信息网络安全的监督管理。</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.协助做好辖区内的各类娱乐场所日常监督检查；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.协助督促各类娱乐场所加强消防安全、治安管理，发现问题和隐患及时上报；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.对群众反映的娱乐场所、演出场所、网吧、文化市场从事非法活动、允许未成年人进入等问题进行现场核查，及时上报；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.配合有关部门对娱乐场所、演出场所、网吧、文化市场等存在的违法行为进行查处。</w:t>
            </w:r>
          </w:p>
        </w:tc>
      </w:tr>
      <w:tr>
        <w:tblPrEx>
          <w:tblCellMar>
            <w:top w:w="0" w:type="dxa"/>
            <w:left w:w="108" w:type="dxa"/>
            <w:bottom w:w="0" w:type="dxa"/>
            <w:right w:w="108" w:type="dxa"/>
          </w:tblCellMar>
        </w:tblPrEx>
        <w:trPr>
          <w:cantSplit/>
          <w:trHeight w:val="482" w:hRule="atLeast"/>
          <w:tblHeader/>
        </w:trPr>
        <w:tc>
          <w:tcPr>
            <w:tcW w:w="14045" w:type="dxa"/>
            <w:gridSpan w:val="6"/>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Style w:val="18"/>
                <w:rFonts w:hint="eastAsia" w:hAnsi="方正公文黑体" w:eastAsia="方正公文黑体"/>
                <w:color w:val="auto"/>
                <w:lang w:val="en-US" w:eastAsia="zh-CN" w:bidi="ar"/>
              </w:rPr>
              <w:t>十、综合政务（2项）</w:t>
            </w:r>
          </w:p>
        </w:tc>
      </w:tr>
      <w:tr>
        <w:tblPrEx>
          <w:tblCellMar>
            <w:top w:w="0" w:type="dxa"/>
            <w:left w:w="108" w:type="dxa"/>
            <w:bottom w:w="0" w:type="dxa"/>
            <w:right w:w="108" w:type="dxa"/>
          </w:tblCellMar>
        </w:tblPrEx>
        <w:trPr>
          <w:cantSplit/>
          <w:trHeight w:val="107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.负责全区公开信息的审核工作；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.负责信息公布工作。</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.落实政府信息公开制度；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.撰写政府信息公开报告并报送。</w:t>
            </w:r>
          </w:p>
        </w:tc>
      </w:tr>
      <w:tr>
        <w:tblPrEx>
          <w:tblCellMar>
            <w:top w:w="0" w:type="dxa"/>
            <w:left w:w="108" w:type="dxa"/>
            <w:bottom w:w="0" w:type="dxa"/>
            <w:right w:w="108" w:type="dxa"/>
          </w:tblCellMar>
        </w:tblPrEx>
        <w:trPr>
          <w:cantSplit/>
          <w:trHeight w:val="131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审核前置性审批单。</w:t>
            </w:r>
          </w:p>
        </w:tc>
        <w:tc>
          <w:tcPr>
            <w:tcW w:w="4848"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.落实固定资产采购制度，采购设备达到</w:t>
            </w:r>
            <w:r>
              <w:rPr>
                <w:rFonts w:hint="eastAsia" w:ascii="Times New Roman" w:hAnsi="Times New Roman" w:eastAsia="方正公文仿宋"/>
                <w:color w:val="auto"/>
                <w:lang w:val="en-US" w:eastAsia="zh-CN" w:bidi="ar"/>
              </w:rPr>
              <w:t>1000</w:t>
            </w:r>
            <w:r>
              <w:rPr>
                <w:rFonts w:hint="eastAsia" w:ascii="方正公文仿宋" w:hAnsi="Times New Roman" w:eastAsia="方正公文仿宋"/>
                <w:color w:val="auto"/>
                <w:lang w:val="en-US" w:eastAsia="zh-CN" w:bidi="ar"/>
              </w:rPr>
              <w:t>元以上的，提交区财政局进行前置性审查，填写前置审批单；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.审核通过后开展采购工作。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676729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一、生态环保（</w:t>
            </w:r>
            <w:r>
              <w:rPr>
                <w:rStyle w:val="18"/>
                <w:rFonts w:hint="eastAsia" w:ascii="Times New Roman" w:hAnsi="Times New Roman" w:eastAsia="方正公文黑体"/>
                <w:color w:val="auto"/>
                <w:lang w:val="en-US" w:eastAsia="zh-CN" w:bidi="ar"/>
              </w:rPr>
              <w:t>17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01"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危险废物环境风险隐患排查整治</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.开展危险废物环境风险隐患排查，建立隐患台账，制定整治措施；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.做好危险废弃物运输与转移、处置的监督工作；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.跟踪复查整改情况。</w:t>
            </w:r>
          </w:p>
        </w:tc>
      </w:tr>
      <w:tr>
        <w:tblPrEx>
          <w:tblCellMar>
            <w:top w:w="0" w:type="dxa"/>
            <w:left w:w="108" w:type="dxa"/>
            <w:bottom w:w="0" w:type="dxa"/>
            <w:right w:w="108" w:type="dxa"/>
          </w:tblCellMar>
        </w:tblPrEx>
        <w:trPr>
          <w:cantSplit/>
          <w:trHeight w:val="9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出具夜间在噪声敏感建筑物集中区域连续施工作业证明</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.受理申请人申请；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511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负责大气污染防治工作，做好扬尘综合治理，监测和评估扬尘对环境质量的影响，开展机动车尾气超标监管工作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.负责监督落实扬尘污染防治措施，建立重污染天气应急减排清单，根据大气国控站点监测数据，及时掌握空气质量；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.加强污染排放监管，对重污染天气、各类施工场地扬尘、道路扬尘、餐饮油烟等污染源进行管控；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.会同行业主管部门按照省政府行政处罚事项授权情况，实施行政处罚或强制；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.对检测机构进行入场监督检查，联合相关部门进行尾气检测；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.开展移动尾气排放检测，依法处置尾气超标排放行为。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 xml:space="preserve">区城乡建设局：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.开展建筑工地扬尘整治；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.负责监督运输垃圾、砂石等散装、流体物料的车辆是否采取相关措施防止扬尘污染。</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开展渣土车扬尘整治工作。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18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开展餐饮服务业经营者超标排放油烟的整治工作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.开展全区餐饮服务行业油烟净化设施安装、使用、清洗情况排查；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.建立健全检查台账；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9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开展异味责令改正工作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.开展异味责令整改工作。</w:t>
            </w:r>
          </w:p>
        </w:tc>
      </w:tr>
      <w:tr>
        <w:tblPrEx>
          <w:tblCellMar>
            <w:top w:w="0" w:type="dxa"/>
            <w:left w:w="108" w:type="dxa"/>
            <w:bottom w:w="0" w:type="dxa"/>
            <w:right w:w="108" w:type="dxa"/>
          </w:tblCellMar>
        </w:tblPrEx>
        <w:trPr>
          <w:cantSplit/>
          <w:trHeight w:val="13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开展道路沿线雨水篦子倾倒废水废物排查整治工作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区城市管理局：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.开展道路沿线按规定排污的宣传工作；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.开展将污水排入雨水管网行为的排查工作；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.开展道路沿线雨水篦子倾倒废水废物整治工作。</w:t>
            </w:r>
          </w:p>
        </w:tc>
      </w:tr>
      <w:tr>
        <w:tblPrEx>
          <w:tblCellMar>
            <w:top w:w="0" w:type="dxa"/>
            <w:left w:w="108" w:type="dxa"/>
            <w:bottom w:w="0" w:type="dxa"/>
            <w:right w:w="108" w:type="dxa"/>
          </w:tblCellMar>
        </w:tblPrEx>
        <w:trPr>
          <w:cantSplit/>
          <w:trHeight w:val="11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区生态环境局、区城乡建设局、区自然资源和林业局、区农业农村局：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.开展全区黑臭水体排查；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.联合有关部门开展整治工作。</w:t>
            </w:r>
          </w:p>
        </w:tc>
      </w:tr>
      <w:tr>
        <w:tblPrEx>
          <w:tblCellMar>
            <w:top w:w="0" w:type="dxa"/>
            <w:left w:w="108" w:type="dxa"/>
            <w:bottom w:w="0" w:type="dxa"/>
            <w:right w:w="108" w:type="dxa"/>
          </w:tblCellMar>
        </w:tblPrEx>
        <w:trPr>
          <w:cantSplit/>
          <w:trHeight w:val="12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开展农村生活污水治理工作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区生态环境局、区城乡建设局：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.在农村地区建设污水处理设施，提高污水处理率；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.推进现有污水设施提升改造，提高处理效果。</w:t>
            </w:r>
          </w:p>
        </w:tc>
      </w:tr>
      <w:tr>
        <w:tblPrEx>
          <w:tblCellMar>
            <w:top w:w="0" w:type="dxa"/>
            <w:left w:w="108" w:type="dxa"/>
            <w:bottom w:w="0" w:type="dxa"/>
            <w:right w:w="108" w:type="dxa"/>
          </w:tblCellMar>
        </w:tblPrEx>
        <w:trPr>
          <w:cantSplit/>
          <w:trHeight w:val="179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.负责本行政区域取用地下水的监督管理；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.开展地下水取水户日常检查，发现违法违规取地下水行为，责令停止违法行为，进行调查取证，将线索移交至相关行政执法部门。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3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区自然资源和林业局、区城乡建设局、区市场监督管理局：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.负责节约用水宣传工作；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.监督检查擅自停止使用节水设施的用水单位；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.依法查处违法行为。</w:t>
            </w:r>
          </w:p>
        </w:tc>
      </w:tr>
      <w:tr>
        <w:tblPrEx>
          <w:tblCellMar>
            <w:top w:w="0" w:type="dxa"/>
            <w:left w:w="108" w:type="dxa"/>
            <w:bottom w:w="0" w:type="dxa"/>
            <w:right w:w="108" w:type="dxa"/>
          </w:tblCellMar>
        </w:tblPrEx>
        <w:trPr>
          <w:cantSplit/>
          <w:trHeight w:val="16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.做好辖区古树名木宣传教育、保护管理、认定工作；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.做好辖区古树名木巡查工作；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.做好辖区破坏古树名木行为监督处置工作；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12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.组织开展现场检查；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.做好土壤取样、样品分析与检测；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11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val="0"/>
                <w:bCs w:val="0"/>
                <w:color w:val="auto"/>
                <w:lang w:val="en-US" w:eastAsia="zh-CN" w:bidi="ar"/>
              </w:rPr>
            </w:pPr>
            <w:r>
              <w:rPr>
                <w:rFonts w:hint="eastAsia" w:ascii="方正公文仿宋" w:hAnsi="Times New Roman" w:eastAsia="方正公文仿宋"/>
                <w:b w:val="0"/>
                <w:bCs w:val="0"/>
                <w:color w:val="auto"/>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区自然资源和林业局、区城市管理局、区市政公用服务中心：</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val="0"/>
                <w:bCs w:val="0"/>
                <w:color w:val="auto"/>
                <w:lang w:val="en-US" w:eastAsia="zh-CN" w:bidi="ar"/>
              </w:rPr>
            </w:pPr>
            <w:r>
              <w:rPr>
                <w:rFonts w:hint="eastAsia" w:ascii="Times New Roman" w:hAnsi="Times New Roman" w:eastAsia="方正公文仿宋"/>
                <w:b w:val="0"/>
                <w:bCs w:val="0"/>
                <w:color w:val="auto"/>
                <w:lang w:val="en-US" w:eastAsia="zh-CN" w:bidi="ar"/>
              </w:rPr>
              <w:t>1</w:t>
            </w:r>
            <w:r>
              <w:rPr>
                <w:rFonts w:hint="eastAsia" w:ascii="方正公文仿宋" w:hAnsi="Times New Roman" w:eastAsia="方正公文仿宋"/>
                <w:b w:val="0"/>
                <w:bCs w:val="0"/>
                <w:color w:val="auto"/>
                <w:lang w:val="en-US" w:eastAsia="zh-CN" w:bidi="ar"/>
              </w:rPr>
              <w:t>.组织开展储备国有用地环境卫生整治；</w:t>
            </w:r>
            <w:r>
              <w:rPr>
                <w:rFonts w:hint="eastAsia" w:ascii="方正公文仿宋" w:hAnsi="Times New Roman" w:eastAsia="方正公文仿宋"/>
                <w:b w:val="0"/>
                <w:bCs w:val="0"/>
                <w:color w:val="auto"/>
                <w:lang w:val="en-US" w:eastAsia="zh-CN" w:bidi="ar"/>
              </w:rPr>
              <w:br w:type="textWrapping"/>
            </w:r>
            <w:r>
              <w:rPr>
                <w:rFonts w:hint="eastAsia" w:ascii="Times New Roman" w:hAnsi="Times New Roman" w:eastAsia="方正公文仿宋"/>
                <w:b w:val="0"/>
                <w:bCs w:val="0"/>
                <w:color w:val="auto"/>
                <w:lang w:val="en-US" w:eastAsia="zh-CN" w:bidi="ar"/>
              </w:rPr>
              <w:t>2</w:t>
            </w:r>
            <w:r>
              <w:rPr>
                <w:rFonts w:hint="eastAsia" w:ascii="方正公文仿宋" w:hAnsi="Times New Roman" w:eastAsia="方正公文仿宋"/>
                <w:b w:val="0"/>
                <w:bCs w:val="0"/>
                <w:color w:val="auto"/>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9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区城乡建设局、区生态环境局：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.摸清市政道路排水管网点位；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.形成管网一张图。</w:t>
            </w:r>
          </w:p>
        </w:tc>
      </w:tr>
      <w:tr>
        <w:tblPrEx>
          <w:tblCellMar>
            <w:top w:w="0" w:type="dxa"/>
            <w:left w:w="108" w:type="dxa"/>
            <w:bottom w:w="0" w:type="dxa"/>
            <w:right w:w="108" w:type="dxa"/>
          </w:tblCellMar>
        </w:tblPrEx>
        <w:trPr>
          <w:cantSplit/>
          <w:trHeight w:val="23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开展公益林管护工作，对森林资源的保护、修复、利用、更新等的监督检查，对破坏森林、公益林等违法违规行为的处理，负责单位之间发生的林木、林地所有权和使用权争议案件处理</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.负责制定生态公益林保护和生态修复计划；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.组织实施林木改良、人工补种等工作；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.负责森林资源调查、监测工作；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.加强巡护管理，会同相关执法部门，依法查处破坏森林、生态公益林的违法行为；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.负责生态公益林补贴和护林员补贴发放工作；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.做好涉及森林资源的开发利用项目的行政许可与审批监督；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.负责单位之间发生的林木、林地所有权和使用权争议案件处理。</w:t>
            </w:r>
          </w:p>
        </w:tc>
      </w:tr>
      <w:tr>
        <w:tblPrEx>
          <w:tblCellMar>
            <w:top w:w="0" w:type="dxa"/>
            <w:left w:w="108" w:type="dxa"/>
            <w:bottom w:w="0" w:type="dxa"/>
            <w:right w:w="108" w:type="dxa"/>
          </w:tblCellMar>
        </w:tblPrEx>
        <w:trPr>
          <w:cantSplit/>
          <w:trHeight w:val="16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.在重点区域布置监测点；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.定期巡查，发现异常及时处置；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.进行产地、调运阶段的检疫工作，对检疫发现的问题及时处置；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.对林业有害生物进行治理。</w:t>
            </w:r>
          </w:p>
        </w:tc>
      </w:tr>
      <w:tr>
        <w:tblPrEx>
          <w:tblCellMar>
            <w:top w:w="0" w:type="dxa"/>
            <w:left w:w="108" w:type="dxa"/>
            <w:bottom w:w="0" w:type="dxa"/>
            <w:right w:w="108" w:type="dxa"/>
          </w:tblCellMar>
        </w:tblPrEx>
        <w:trPr>
          <w:cantSplit/>
          <w:trHeight w:val="11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.实施采样和实验室分析；</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.开展现场应急监测和实验室应急分析；</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lang w:val="en-US" w:eastAsia="zh-CN" w:bidi="ar"/>
              </w:rPr>
            </w:pPr>
            <w:r>
              <w:rPr>
                <w:rStyle w:val="18"/>
                <w:rFonts w:hint="eastAsia" w:hAnsi="方正公文黑体" w:eastAsia="方正公文黑体"/>
                <w:color w:val="auto"/>
                <w:lang w:eastAsia="zh-CN" w:bidi="ar"/>
              </w:rPr>
              <w:t>二、平安法治（</w:t>
            </w:r>
            <w:r>
              <w:rPr>
                <w:rStyle w:val="18"/>
                <w:rFonts w:hint="eastAsia" w:ascii="Times New Roman" w:hAnsi="Times New Roman"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.检查特种作业、特种设备安全隐患问题；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.依法查处违法违规行为；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.负责监督指导有关企业或个人进行整改。</w:t>
            </w:r>
          </w:p>
        </w:tc>
      </w:tr>
      <w:tr>
        <w:tblPrEx>
          <w:tblCellMar>
            <w:top w:w="0" w:type="dxa"/>
            <w:left w:w="108" w:type="dxa"/>
            <w:bottom w:w="0" w:type="dxa"/>
            <w:right w:w="108" w:type="dxa"/>
          </w:tblCellMar>
        </w:tblPrEx>
        <w:trPr>
          <w:cantSplit/>
          <w:trHeight w:val="14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.制定应急预案，组织开展应急演练；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.做好应急物资储备与管理；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.做好事故监测与预警，按程序开展事故调查工作；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.做好事故应急响应与处置。</w:t>
            </w:r>
          </w:p>
        </w:tc>
      </w:tr>
      <w:tr>
        <w:tblPrEx>
          <w:tblCellMar>
            <w:top w:w="0" w:type="dxa"/>
            <w:left w:w="108" w:type="dxa"/>
            <w:bottom w:w="0" w:type="dxa"/>
            <w:right w:w="108" w:type="dxa"/>
          </w:tblCellMar>
        </w:tblPrEx>
        <w:trPr>
          <w:cantSplit/>
          <w:trHeight w:val="114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.检查内容：电梯定期校验报告、持证操作，发现安全隐患问题；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.巡查特种设备安全情况，建立台账，发现安全隐患及时上报，做好隐患整治工作；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.做好有关电梯安全的投诉处理工作。</w:t>
            </w:r>
          </w:p>
        </w:tc>
      </w:tr>
      <w:tr>
        <w:tblPrEx>
          <w:tblCellMar>
            <w:top w:w="0" w:type="dxa"/>
            <w:left w:w="108" w:type="dxa"/>
            <w:bottom w:w="0" w:type="dxa"/>
            <w:right w:w="108" w:type="dxa"/>
          </w:tblCellMar>
        </w:tblPrEx>
        <w:trPr>
          <w:cantSplit/>
          <w:trHeight w:val="105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开展辖区“九小场所”应急救援一张图绘制工作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.指导小微企业做好应急救援一张图；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.做好相关台账；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.“九小场所”应急疏散一张图工作开展情况巡查。</w:t>
            </w:r>
          </w:p>
        </w:tc>
      </w:tr>
      <w:tr>
        <w:tblPrEx>
          <w:tblCellMar>
            <w:top w:w="0" w:type="dxa"/>
            <w:left w:w="108" w:type="dxa"/>
            <w:bottom w:w="0" w:type="dxa"/>
            <w:right w:w="108" w:type="dxa"/>
          </w:tblCellMar>
        </w:tblPrEx>
        <w:trPr>
          <w:cantSplit/>
          <w:trHeight w:val="252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.开展重大事故隐患排查；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.整治排查发现的问题，对整改不力或拒不整改的，依法依规进行处罚；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.开展重大事故隐患动态清零工作；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.对生产经营单位提取、使用和管理安全费用情况的监督检查；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.对地质勘探单位安全生产情况的监督检查，对整改不力或拒不整改的，依法依规进行处罚；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7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区应急管理局、区市场监督管理局、城东公安分局：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197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.组织开展危化品、设备设施专项安全大检查和联合执法行动；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.发现危化品、燃气事故隐患时及时进行专业认定，提出整改措施；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.督促生产经营单位整改重大安全隐患，对整改不力或拒不整改的，上报进行处罚；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7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区消防救援大队：</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.建立健全微型消防站管理制度；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.开展日常检查，对发现微型消防站设施、设备不齐全、过期等问题及时督促整改；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.对基层微型消防站建设提供指导和支持；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.不定期开展联勤联训。</w:t>
            </w:r>
          </w:p>
        </w:tc>
      </w:tr>
      <w:tr>
        <w:tblPrEx>
          <w:tblCellMar>
            <w:top w:w="0" w:type="dxa"/>
            <w:left w:w="108" w:type="dxa"/>
            <w:bottom w:w="0" w:type="dxa"/>
            <w:right w:w="108" w:type="dxa"/>
          </w:tblCellMar>
        </w:tblPrEx>
        <w:trPr>
          <w:cantSplit/>
          <w:trHeight w:val="200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.建立健全校内各项安全管理制度和安全应急机制；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.建立校内安全工作领导机构；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.健全门卫制度；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.建立校内安全定期检查制度和危房报告制度；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.落实消防安全制度和消防工作责任制。</w:t>
            </w:r>
          </w:p>
        </w:tc>
      </w:tr>
      <w:tr>
        <w:tblPrEx>
          <w:tblCellMar>
            <w:top w:w="0" w:type="dxa"/>
            <w:left w:w="108" w:type="dxa"/>
            <w:bottom w:w="0" w:type="dxa"/>
            <w:right w:w="108" w:type="dxa"/>
          </w:tblCellMar>
        </w:tblPrEx>
        <w:trPr>
          <w:cantSplit/>
          <w:trHeight w:val="11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.组织开展生产经营单位事故隐患实地检查和排查工作；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13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.开展储备用地安全巡查工作；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.开展储备用地安全隐患整治工作。</w:t>
            </w:r>
          </w:p>
        </w:tc>
      </w:tr>
      <w:tr>
        <w:tblPrEx>
          <w:tblCellMar>
            <w:top w:w="0" w:type="dxa"/>
            <w:left w:w="108" w:type="dxa"/>
            <w:bottom w:w="0" w:type="dxa"/>
            <w:right w:w="108" w:type="dxa"/>
          </w:tblCellMar>
        </w:tblPrEx>
        <w:trPr>
          <w:cantSplit/>
          <w:trHeight w:val="12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开展“旧衣物回收箱”设置情况排查清理工作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区城市管理局、区市场监督管理局、区生态环境局：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.摸排全区范围内居民小区“旧衣物回收箱”设置情况；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.劝导自行收回未经任何部门审批、报备而擅自设置的旧衣物回收箱；</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11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.开展食用农产品监督检查工作；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.依法处理有关问题。</w:t>
            </w:r>
          </w:p>
        </w:tc>
      </w:tr>
      <w:tr>
        <w:tblPrEx>
          <w:tblCellMar>
            <w:top w:w="0" w:type="dxa"/>
            <w:left w:w="108" w:type="dxa"/>
            <w:bottom w:w="0" w:type="dxa"/>
            <w:right w:w="108" w:type="dxa"/>
          </w:tblCellMar>
        </w:tblPrEx>
        <w:trPr>
          <w:cantSplit/>
          <w:trHeight w:val="162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.开展粉尘涉爆企业安全检查，对隐患问题责令限期整改；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.评估粉尘爆炸风险；</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.指导粉尘涉爆企业制定完善生产安全事故应急预案，开展应急演练；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.依法查处安全生产违法违规问题。</w:t>
            </w:r>
          </w:p>
        </w:tc>
      </w:tr>
      <w:tr>
        <w:tblPrEx>
          <w:tblCellMar>
            <w:top w:w="0" w:type="dxa"/>
            <w:left w:w="108" w:type="dxa"/>
            <w:bottom w:w="0" w:type="dxa"/>
            <w:right w:w="108" w:type="dxa"/>
          </w:tblCellMar>
        </w:tblPrEx>
        <w:trPr>
          <w:cantSplit/>
          <w:trHeight w:val="21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交警一大队、区发展改革和工业信息化局、区市场监督管理局：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.加强路面和重点区域巡查力度，依法查处摩托车、人力三轮车、残疾人机动轮椅及装配动力装置的无牌无证车辆道路交通违法违规行为和违规从事非法营运行为；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.加强对加油站检查力度，依法查处违规向摩托车、残疾人机动轮椅及装配动力装置的无牌无证车辆加油行为；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3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.排查评估地质灾害易发区域隐患；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.制定治理方案，对治理项目的实施进行跟踪监督检查；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.定期对已治理的隐患点进行复查。</w:t>
            </w:r>
          </w:p>
        </w:tc>
      </w:tr>
      <w:tr>
        <w:tblPrEx>
          <w:tblCellMar>
            <w:top w:w="0" w:type="dxa"/>
            <w:left w:w="108" w:type="dxa"/>
            <w:bottom w:w="0" w:type="dxa"/>
            <w:right w:w="108" w:type="dxa"/>
          </w:tblCellMar>
        </w:tblPrEx>
        <w:trPr>
          <w:cantSplit/>
          <w:trHeight w:val="13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.组织人员对单位编制的应急预案进行评审；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.对符合要求的应急预案进行备案，并指导企业演练；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.对不符合条件的进行指导并修改完善。</w:t>
            </w:r>
          </w:p>
        </w:tc>
      </w:tr>
      <w:tr>
        <w:tblPrEx>
          <w:tblCellMar>
            <w:top w:w="0" w:type="dxa"/>
            <w:left w:w="108" w:type="dxa"/>
            <w:bottom w:w="0" w:type="dxa"/>
            <w:right w:w="108" w:type="dxa"/>
          </w:tblCellMar>
        </w:tblPrEx>
        <w:trPr>
          <w:cantSplit/>
          <w:trHeight w:val="12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.组织开展现场核查；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.做好食品小作坊的许可证发放工作。</w:t>
            </w:r>
          </w:p>
        </w:tc>
      </w:tr>
      <w:tr>
        <w:tblPrEx>
          <w:tblCellMar>
            <w:top w:w="0" w:type="dxa"/>
            <w:left w:w="108" w:type="dxa"/>
            <w:bottom w:w="0" w:type="dxa"/>
            <w:right w:w="108" w:type="dxa"/>
          </w:tblCellMar>
        </w:tblPrEx>
        <w:trPr>
          <w:cantSplit/>
          <w:trHeight w:val="12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.加强对重点领域、重点行业的广告的定期审查和广告违法行为的日常监管；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.依法查处广告违法违规行为。</w:t>
            </w:r>
          </w:p>
        </w:tc>
      </w:tr>
      <w:tr>
        <w:tblPrEx>
          <w:tblCellMar>
            <w:top w:w="0" w:type="dxa"/>
            <w:left w:w="108" w:type="dxa"/>
            <w:bottom w:w="0" w:type="dxa"/>
            <w:right w:w="108" w:type="dxa"/>
          </w:tblCellMar>
        </w:tblPrEx>
        <w:trPr>
          <w:cantSplit/>
          <w:trHeight w:val="308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.组织开展药品、医疗器械、化妆品生产经营单位安全隐患实地检查和排查工作；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.督促企业整改重大事故隐患，对整改不力或拒不整改的，依法依规进行处罚；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.制定药品安全事件应急预案并组织演练；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.发生药品安全事件，及时启动预案并进行处置；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.开展事件调查处理工作。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.开展日常监督检查；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.进行监督抽检与风险监测；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.依法查处违法违规问题。</w:t>
            </w:r>
          </w:p>
        </w:tc>
      </w:tr>
      <w:tr>
        <w:tblPrEx>
          <w:tblCellMar>
            <w:top w:w="0" w:type="dxa"/>
            <w:left w:w="108" w:type="dxa"/>
            <w:bottom w:w="0" w:type="dxa"/>
            <w:right w:w="108" w:type="dxa"/>
          </w:tblCellMar>
        </w:tblPrEx>
        <w:trPr>
          <w:cantSplit/>
          <w:trHeight w:val="21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开展食品安全事故调查处置工作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.对食品生产加工企业产品符合法律法规和食品安全标准执行情况进行监督管理；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.负责食品安全事故调查，封存涉事食品样品；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.出具检验结果或者认证证明；</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.依法处置食品安全违法违规问题。</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负责流行病学调查工作，出具调查报告。</w:t>
            </w:r>
          </w:p>
        </w:tc>
      </w:tr>
      <w:tr>
        <w:tblPrEx>
          <w:tblCellMar>
            <w:top w:w="0" w:type="dxa"/>
            <w:left w:w="108" w:type="dxa"/>
            <w:bottom w:w="0" w:type="dxa"/>
            <w:right w:w="108" w:type="dxa"/>
          </w:tblCellMar>
        </w:tblPrEx>
        <w:trPr>
          <w:cantSplit/>
          <w:trHeight w:val="132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64"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.受理高空抛物类投诉问题；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Style w:val="18"/>
                <w:rFonts w:hint="eastAsia" w:hAnsi="方正公文黑体" w:eastAsia="方正公文黑体"/>
                <w:color w:val="auto"/>
                <w:lang w:eastAsia="zh-CN" w:bidi="ar"/>
              </w:rPr>
              <w:t>三、民生服务（</w:t>
            </w:r>
            <w:r>
              <w:rPr>
                <w:rStyle w:val="18"/>
                <w:rFonts w:hint="eastAsia" w:ascii="Times New Roman" w:hAnsi="Times New Roman" w:eastAsia="方正公文黑体"/>
                <w:color w:val="auto"/>
                <w:lang w:val="en-US" w:eastAsia="zh-CN" w:bidi="ar"/>
              </w:rPr>
              <w:t>42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1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.会同有关部门开展公益性岗位人员违规创办企业清查工作；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.处置有关人员。</w:t>
            </w:r>
          </w:p>
        </w:tc>
      </w:tr>
      <w:tr>
        <w:tblPrEx>
          <w:tblCellMar>
            <w:top w:w="0" w:type="dxa"/>
            <w:left w:w="108" w:type="dxa"/>
            <w:bottom w:w="0" w:type="dxa"/>
            <w:right w:w="108" w:type="dxa"/>
          </w:tblCellMar>
        </w:tblPrEx>
        <w:trPr>
          <w:cantSplit/>
          <w:trHeight w:val="10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开展追缴违规领取残疾人“两项”补贴资金工作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区民政局、区残疾人联合会：</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.负责做好资金发放后的监督管理工作；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.对违规领取资金的进行追缴。</w:t>
            </w:r>
          </w:p>
        </w:tc>
      </w:tr>
      <w:tr>
        <w:tblPrEx>
          <w:tblCellMar>
            <w:top w:w="0" w:type="dxa"/>
            <w:left w:w="108" w:type="dxa"/>
            <w:bottom w:w="0" w:type="dxa"/>
            <w:right w:w="108" w:type="dxa"/>
          </w:tblCellMar>
        </w:tblPrEx>
        <w:trPr>
          <w:cantSplit/>
          <w:trHeight w:val="26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.摸排养老、托育机构总体情况、公办托育机构情况、民办普惠性托育机构情况、托育机构发展情况、民办非普惠性托育机构情况、幼儿园举办托班有关情况；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.摸排养老服务行业发展情况表、人口发展趋势情况表、托育服务行业发展情况；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.负责养老、托育机构审批与监管；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.定期对托育机构的卫生保健、安全管理、人员管理进行监督检查；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.对发现的问题明确整改要求和时限；</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.依法处置拒不整改或整改不到位问题。</w:t>
            </w:r>
          </w:p>
        </w:tc>
      </w:tr>
      <w:tr>
        <w:tblPrEx>
          <w:tblCellMar>
            <w:top w:w="0" w:type="dxa"/>
            <w:left w:w="108" w:type="dxa"/>
            <w:bottom w:w="0" w:type="dxa"/>
            <w:right w:w="108" w:type="dxa"/>
          </w:tblCellMar>
        </w:tblPrEx>
        <w:trPr>
          <w:cantSplit/>
          <w:trHeight w:val="10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83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负责爱老幸福食堂管理运行工作。</w:t>
            </w:r>
          </w:p>
        </w:tc>
      </w:tr>
      <w:tr>
        <w:tblPrEx>
          <w:tblCellMar>
            <w:top w:w="0" w:type="dxa"/>
            <w:left w:w="108" w:type="dxa"/>
            <w:bottom w:w="0" w:type="dxa"/>
            <w:right w:w="108" w:type="dxa"/>
          </w:tblCellMar>
        </w:tblPrEx>
        <w:trPr>
          <w:cantSplit/>
          <w:trHeight w:val="172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区医疗保障局：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.统筹开展全区城乡居民医疗保险参保动员、预算编制、基金收支、转移接续、宣传解读等工作；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.负责全区城乡居民医疗保险催缴工作。</w:t>
            </w:r>
          </w:p>
        </w:tc>
      </w:tr>
      <w:tr>
        <w:tblPrEx>
          <w:tblCellMar>
            <w:top w:w="0" w:type="dxa"/>
            <w:left w:w="108" w:type="dxa"/>
            <w:bottom w:w="0" w:type="dxa"/>
            <w:right w:w="108" w:type="dxa"/>
          </w:tblCellMar>
        </w:tblPrEx>
        <w:trPr>
          <w:cantSplit/>
          <w:trHeight w:val="1533" w:hRule="atLeast"/>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46</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.摸排辖区道路标牌缺失破损情况；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.清洗维护路牌；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.更换破损标牌。</w:t>
            </w:r>
          </w:p>
        </w:tc>
      </w:tr>
      <w:tr>
        <w:tblPrEx>
          <w:tblCellMar>
            <w:top w:w="0" w:type="dxa"/>
            <w:left w:w="108" w:type="dxa"/>
            <w:bottom w:w="0" w:type="dxa"/>
            <w:right w:w="108" w:type="dxa"/>
          </w:tblCellMar>
        </w:tblPrEx>
        <w:trPr>
          <w:cantSplit/>
          <w:trHeight w:val="3561" w:hRule="atLeast"/>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47</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.统一监督负责区域内地名管理工作，会同有关部门编制区域地名方案，做好相关地名的审核、备案、公告等工作；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.掌握地名现状和历史沿革等，在中国国家地名信息库内及时做好地名的更新完善工作；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.做好区域内地名普查、收集、记录、统计等工作，制定保护名录；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.加强对区域内地名的命名、更名、使用、文化保护的监督检查；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.负责区域内地名标志牌、街道门牌的设置和更新、管理工作；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.对本地区地名进行排查，对疑似不规范地名进行认定，对不规范地名标识进行清理、拆除或更换，对清理后的地名进行重新命名；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1549" w:hRule="atLeast"/>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48</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.统计近三年早婚数量、最小年龄、民族占比；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.统计早婚为自愿或家人包办占比、平均彩礼金额、受教育情况；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.梳理近三年早婚情况调查表。</w:t>
            </w:r>
          </w:p>
        </w:tc>
      </w:tr>
      <w:tr>
        <w:tblPrEx>
          <w:tblCellMar>
            <w:top w:w="0" w:type="dxa"/>
            <w:left w:w="108" w:type="dxa"/>
            <w:bottom w:w="0" w:type="dxa"/>
            <w:right w:w="108" w:type="dxa"/>
          </w:tblCellMar>
        </w:tblPrEx>
        <w:trPr>
          <w:cantSplit/>
          <w:trHeight w:val="10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.审核（盖章）节地生态安葬费事项；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.发放资金。</w:t>
            </w:r>
          </w:p>
        </w:tc>
      </w:tr>
      <w:tr>
        <w:tblPrEx>
          <w:tblCellMar>
            <w:top w:w="0" w:type="dxa"/>
            <w:left w:w="108" w:type="dxa"/>
            <w:bottom w:w="0" w:type="dxa"/>
            <w:right w:w="108" w:type="dxa"/>
          </w:tblCellMar>
        </w:tblPrEx>
        <w:trPr>
          <w:cantSplit/>
          <w:trHeight w:val="132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.追缴冒领的保障金或救助金；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.追缴保障金或救助金存至规定账户。</w:t>
            </w:r>
          </w:p>
        </w:tc>
      </w:tr>
      <w:tr>
        <w:tblPrEx>
          <w:tblCellMar>
            <w:top w:w="0" w:type="dxa"/>
            <w:left w:w="108" w:type="dxa"/>
            <w:bottom w:w="0" w:type="dxa"/>
            <w:right w:w="108" w:type="dxa"/>
          </w:tblCellMar>
        </w:tblPrEx>
        <w:trPr>
          <w:cantSplit/>
          <w:trHeight w:val="10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.排查违规领取高龄补贴人员；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.追缴违规领取的高龄补贴。</w:t>
            </w:r>
          </w:p>
        </w:tc>
      </w:tr>
      <w:tr>
        <w:tblPrEx>
          <w:tblCellMar>
            <w:top w:w="0" w:type="dxa"/>
            <w:left w:w="108" w:type="dxa"/>
            <w:bottom w:w="0" w:type="dxa"/>
            <w:right w:w="108" w:type="dxa"/>
          </w:tblCellMar>
        </w:tblPrEx>
        <w:trPr>
          <w:cantSplit/>
          <w:trHeight w:val="7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负责计划生育利益导向资金预估工作。</w:t>
            </w:r>
          </w:p>
        </w:tc>
      </w:tr>
      <w:tr>
        <w:tblPrEx>
          <w:tblCellMar>
            <w:top w:w="0" w:type="dxa"/>
            <w:left w:w="108" w:type="dxa"/>
            <w:bottom w:w="0" w:type="dxa"/>
            <w:right w:w="108" w:type="dxa"/>
          </w:tblCellMar>
        </w:tblPrEx>
        <w:trPr>
          <w:cantSplit/>
          <w:trHeight w:val="97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.组织医护人员参加专业培训；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.负责开展妇幼健康服务项目。</w:t>
            </w:r>
          </w:p>
        </w:tc>
      </w:tr>
      <w:tr>
        <w:tblPrEx>
          <w:tblCellMar>
            <w:top w:w="0" w:type="dxa"/>
            <w:left w:w="108" w:type="dxa"/>
            <w:bottom w:w="0" w:type="dxa"/>
            <w:right w:w="108" w:type="dxa"/>
          </w:tblCellMar>
        </w:tblPrEx>
        <w:trPr>
          <w:cantSplit/>
          <w:trHeight w:val="100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对非法为他人施行计划生育手术 ，或者利用超声技术和其他技术手段为他人进行非医学需要的胎儿性别鉴定或选择性别的人工终止妊娠的排查处罚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负责做好排查处罚工作。</w:t>
            </w:r>
          </w:p>
        </w:tc>
      </w:tr>
      <w:tr>
        <w:tblPrEx>
          <w:tblCellMar>
            <w:top w:w="0" w:type="dxa"/>
            <w:left w:w="108" w:type="dxa"/>
            <w:bottom w:w="0" w:type="dxa"/>
            <w:right w:w="108" w:type="dxa"/>
          </w:tblCellMar>
        </w:tblPrEx>
        <w:trPr>
          <w:cantSplit/>
          <w:trHeight w:val="6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13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区卫生健康局、区财政局：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.做好相关信息排查；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.计划生育家庭特别扶助金审核确认；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.追回超领、冒领计划生育各类扶助资金、补助资金。</w:t>
            </w:r>
          </w:p>
        </w:tc>
      </w:tr>
      <w:tr>
        <w:tblPrEx>
          <w:tblCellMar>
            <w:top w:w="0" w:type="dxa"/>
            <w:left w:w="108" w:type="dxa"/>
            <w:bottom w:w="0" w:type="dxa"/>
            <w:right w:w="108" w:type="dxa"/>
          </w:tblCellMar>
        </w:tblPrEx>
        <w:trPr>
          <w:cantSplit/>
          <w:trHeight w:val="13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.做好新生儿在医疗保健机构以外地点死亡的核查工作；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.组织专业人员对死亡原因进行鉴定；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.出具核查结论，涉嫌犯罪的，向公安部门移交线索。</w:t>
            </w:r>
          </w:p>
        </w:tc>
      </w:tr>
      <w:tr>
        <w:tblPrEx>
          <w:tblCellMar>
            <w:top w:w="0" w:type="dxa"/>
            <w:left w:w="108" w:type="dxa"/>
            <w:bottom w:w="0" w:type="dxa"/>
            <w:right w:w="108" w:type="dxa"/>
          </w:tblCellMar>
        </w:tblPrEx>
        <w:trPr>
          <w:cantSplit/>
          <w:trHeight w:val="10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农村部分计划生育家庭奖励扶助金审核确认</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.负责收取申请资料；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.审核监管发放资金。</w:t>
            </w:r>
          </w:p>
        </w:tc>
      </w:tr>
      <w:tr>
        <w:tblPrEx>
          <w:tblCellMar>
            <w:top w:w="0" w:type="dxa"/>
            <w:left w:w="108" w:type="dxa"/>
            <w:bottom w:w="0" w:type="dxa"/>
            <w:right w:w="108" w:type="dxa"/>
          </w:tblCellMar>
        </w:tblPrEx>
        <w:trPr>
          <w:cantSplit/>
          <w:trHeight w:val="7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8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负责开展计划生育纪念日、会员日服务活动。</w:t>
            </w:r>
          </w:p>
        </w:tc>
      </w:tr>
      <w:tr>
        <w:tblPrEx>
          <w:tblCellMar>
            <w:top w:w="0" w:type="dxa"/>
            <w:left w:w="108" w:type="dxa"/>
            <w:bottom w:w="0" w:type="dxa"/>
            <w:right w:w="108" w:type="dxa"/>
          </w:tblCellMar>
        </w:tblPrEx>
        <w:trPr>
          <w:cantSplit/>
          <w:trHeight w:val="5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5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5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6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对开展关爱女性健康保险宣传发动 、组织参保工作的考核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56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7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区教育局：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负责取缔非法校外培训机构。</w:t>
            </w:r>
          </w:p>
        </w:tc>
      </w:tr>
      <w:tr>
        <w:tblPrEx>
          <w:tblCellMar>
            <w:top w:w="0" w:type="dxa"/>
            <w:left w:w="108" w:type="dxa"/>
            <w:bottom w:w="0" w:type="dxa"/>
            <w:right w:w="108" w:type="dxa"/>
          </w:tblCellMar>
        </w:tblPrEx>
        <w:trPr>
          <w:cantSplit/>
          <w:trHeight w:val="103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区城市管理局：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.开展垃圾分类监督检查工作；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.责令整改垃圾混投行为。</w:t>
            </w:r>
          </w:p>
        </w:tc>
      </w:tr>
      <w:tr>
        <w:tblPrEx>
          <w:tblCellMar>
            <w:top w:w="0" w:type="dxa"/>
            <w:left w:w="108" w:type="dxa"/>
            <w:bottom w:w="0" w:type="dxa"/>
            <w:right w:w="108" w:type="dxa"/>
          </w:tblCellMar>
        </w:tblPrEx>
        <w:trPr>
          <w:cantSplit/>
          <w:trHeight w:val="10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.开展入户调查工作；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.录入填报系统。</w:t>
            </w:r>
          </w:p>
        </w:tc>
      </w:tr>
      <w:tr>
        <w:tblPrEx>
          <w:tblCellMar>
            <w:top w:w="0" w:type="dxa"/>
            <w:left w:w="108" w:type="dxa"/>
            <w:bottom w:w="0" w:type="dxa"/>
            <w:right w:w="108" w:type="dxa"/>
          </w:tblCellMar>
        </w:tblPrEx>
        <w:trPr>
          <w:cantSplit/>
          <w:trHeight w:val="8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负责高校应届毕业生生源信息核查工作。</w:t>
            </w:r>
          </w:p>
        </w:tc>
      </w:tr>
      <w:tr>
        <w:tblPrEx>
          <w:tblCellMar>
            <w:top w:w="0" w:type="dxa"/>
            <w:left w:w="108" w:type="dxa"/>
            <w:bottom w:w="0" w:type="dxa"/>
            <w:right w:w="108" w:type="dxa"/>
          </w:tblCellMar>
        </w:tblPrEx>
        <w:trPr>
          <w:cantSplit/>
          <w:trHeight w:val="14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.发布培训需求开展网上报名；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.根据报名情况核实报名信息；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.组织培训机构开展培训。</w:t>
            </w:r>
          </w:p>
        </w:tc>
      </w:tr>
      <w:tr>
        <w:tblPrEx>
          <w:tblCellMar>
            <w:top w:w="0" w:type="dxa"/>
            <w:left w:w="108" w:type="dxa"/>
            <w:bottom w:w="0" w:type="dxa"/>
            <w:right w:w="108" w:type="dxa"/>
          </w:tblCellMar>
        </w:tblPrEx>
        <w:trPr>
          <w:cantSplit/>
          <w:trHeight w:val="10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.负责创业实体信息及就业务工信息统计排查工作；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.对收集的信息进行核实并上报。</w:t>
            </w:r>
          </w:p>
        </w:tc>
      </w:tr>
      <w:tr>
        <w:tblPrEx>
          <w:tblCellMar>
            <w:top w:w="0" w:type="dxa"/>
            <w:left w:w="108" w:type="dxa"/>
            <w:bottom w:w="0" w:type="dxa"/>
            <w:right w:w="108" w:type="dxa"/>
          </w:tblCellMar>
        </w:tblPrEx>
        <w:trPr>
          <w:cantSplit/>
          <w:trHeight w:val="7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配合开展物业服务质量星级化评定工作。</w:t>
            </w:r>
          </w:p>
        </w:tc>
      </w:tr>
      <w:tr>
        <w:tblPrEx>
          <w:tblCellMar>
            <w:top w:w="0" w:type="dxa"/>
            <w:left w:w="108" w:type="dxa"/>
            <w:bottom w:w="0" w:type="dxa"/>
            <w:right w:w="108" w:type="dxa"/>
          </w:tblCellMar>
        </w:tblPrEx>
        <w:trPr>
          <w:cantSplit/>
          <w:trHeight w:val="73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82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区医疗保障局：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负责城乡居民基本医疗保险已缴费人员统计。</w:t>
            </w:r>
          </w:p>
        </w:tc>
      </w:tr>
      <w:tr>
        <w:tblPrEx>
          <w:tblCellMar>
            <w:top w:w="0" w:type="dxa"/>
            <w:left w:w="108" w:type="dxa"/>
            <w:bottom w:w="0" w:type="dxa"/>
            <w:right w:w="108" w:type="dxa"/>
          </w:tblCellMar>
        </w:tblPrEx>
        <w:trPr>
          <w:cantSplit/>
          <w:trHeight w:val="7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区医疗保障局：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负责医保领域欺诈骗保案件调查工作。</w:t>
            </w:r>
          </w:p>
        </w:tc>
      </w:tr>
      <w:tr>
        <w:tblPrEx>
          <w:tblCellMar>
            <w:top w:w="0" w:type="dxa"/>
            <w:left w:w="108" w:type="dxa"/>
            <w:bottom w:w="0" w:type="dxa"/>
            <w:right w:w="108" w:type="dxa"/>
          </w:tblCellMar>
        </w:tblPrEx>
        <w:trPr>
          <w:cantSplit/>
          <w:trHeight w:val="76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10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.监管物业小区公共收益开支情况；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.对未公示物业企业进行整治。</w:t>
            </w:r>
          </w:p>
        </w:tc>
      </w:tr>
      <w:tr>
        <w:tblPrEx>
          <w:tblCellMar>
            <w:top w:w="0" w:type="dxa"/>
            <w:left w:w="108" w:type="dxa"/>
            <w:bottom w:w="0" w:type="dxa"/>
            <w:right w:w="108" w:type="dxa"/>
          </w:tblCellMar>
        </w:tblPrEx>
        <w:trPr>
          <w:cantSplit/>
          <w:trHeight w:val="10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区教育局：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.统计未还清助学贷款人员名单；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.开展催缴工作。</w:t>
            </w:r>
          </w:p>
        </w:tc>
      </w:tr>
      <w:tr>
        <w:tblPrEx>
          <w:tblCellMar>
            <w:top w:w="0" w:type="dxa"/>
            <w:left w:w="108" w:type="dxa"/>
            <w:bottom w:w="0" w:type="dxa"/>
            <w:right w:w="108" w:type="dxa"/>
          </w:tblCellMar>
        </w:tblPrEx>
        <w:trPr>
          <w:cantSplit/>
          <w:trHeight w:val="9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9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144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区城乡建设局、区市场监督管理局、区消防救援大队、区生态环境局：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.对辖区第三方供热公司提供的供热服务和质量进行监督检查；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.设置用户投诉电话；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.及时处理投诉问题。</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四、经济发展（</w:t>
            </w:r>
            <w:r>
              <w:rPr>
                <w:rStyle w:val="18"/>
                <w:rFonts w:hint="eastAsia" w:ascii="Times New Roman" w:hAnsi="Times New Roman"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对辖区项目进行评估预测。</w:t>
            </w:r>
          </w:p>
        </w:tc>
      </w:tr>
      <w:tr>
        <w:tblPrEx>
          <w:tblCellMar>
            <w:top w:w="0" w:type="dxa"/>
            <w:left w:w="108" w:type="dxa"/>
            <w:bottom w:w="0" w:type="dxa"/>
            <w:right w:w="108" w:type="dxa"/>
          </w:tblCellMar>
        </w:tblPrEx>
        <w:trPr>
          <w:cantSplit/>
          <w:trHeight w:val="12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.排查项目欠薪情况；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.做好清欠工作。</w:t>
            </w:r>
          </w:p>
        </w:tc>
      </w:tr>
      <w:tr>
        <w:tblPrEx>
          <w:tblCellMar>
            <w:top w:w="0" w:type="dxa"/>
            <w:left w:w="108" w:type="dxa"/>
            <w:bottom w:w="0" w:type="dxa"/>
            <w:right w:w="108" w:type="dxa"/>
          </w:tblCellMar>
        </w:tblPrEx>
        <w:trPr>
          <w:cantSplit/>
          <w:trHeight w:val="25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区委政法委员会、区城市管理局、区人力资源和社会保障局、区财政局、区司法局、区审计局、区市场监督管理局、城东公安分局、区自然资源和林业局：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.排查工程建设项目和制造业等劳动密集型企业，划分网格，指定责任人，实施包保包联，责任项目到人；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.排查债务违约或债务风险较高的房地产企业所属项目，掌握欠薪底数，分析欠薪原因，提出针对性举措；</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119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负责平价蔬菜店补贴审核发放工作。</w:t>
            </w:r>
          </w:p>
        </w:tc>
      </w:tr>
      <w:tr>
        <w:tblPrEx>
          <w:tblCellMar>
            <w:top w:w="0" w:type="dxa"/>
            <w:left w:w="108" w:type="dxa"/>
            <w:bottom w:w="0" w:type="dxa"/>
            <w:right w:w="108" w:type="dxa"/>
          </w:tblCellMar>
        </w:tblPrEx>
        <w:trPr>
          <w:cantSplit/>
          <w:trHeight w:val="12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区财政局、区市政公用服务中心：</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.认真盘点辖区内基础设施存量情况；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w:t>
            </w:r>
            <w:r>
              <w:rPr>
                <w:rStyle w:val="18"/>
                <w:rFonts w:hint="eastAsia" w:ascii="Times New Roman" w:hAnsi="Times New Roman"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开展乡村振兴项目用地审批工作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区农业农村局、区自然资源和林业局：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.核实项目土地性质上报上级部门审批；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.配合下达审批意见。</w:t>
            </w:r>
          </w:p>
        </w:tc>
      </w:tr>
      <w:tr>
        <w:tblPrEx>
          <w:tblCellMar>
            <w:top w:w="0" w:type="dxa"/>
            <w:left w:w="108" w:type="dxa"/>
            <w:bottom w:w="0" w:type="dxa"/>
            <w:right w:w="108" w:type="dxa"/>
          </w:tblCellMar>
        </w:tblPrEx>
        <w:trPr>
          <w:cantSplit/>
          <w:trHeight w:val="106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.定期对水生动物进行监测，并形成监测台账；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.对检测数据进行分析，预测疫病和病害的发生趋势；</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.发布疫病和病害预警信息。</w:t>
            </w:r>
          </w:p>
        </w:tc>
      </w:tr>
      <w:tr>
        <w:tblPrEx>
          <w:tblCellMar>
            <w:top w:w="0" w:type="dxa"/>
            <w:left w:w="108" w:type="dxa"/>
            <w:bottom w:w="0" w:type="dxa"/>
            <w:right w:w="108" w:type="dxa"/>
          </w:tblCellMar>
        </w:tblPrEx>
        <w:trPr>
          <w:cantSplit/>
          <w:trHeight w:val="5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14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.受理并初审动物防疫条件合格申请；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.实地查看，核实防疫条件；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.核发动物防疫条件合格证；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.对已取得合格证的场所进行定期和不定期检查，依法查处违法违规问题。</w:t>
            </w:r>
          </w:p>
        </w:tc>
      </w:tr>
      <w:tr>
        <w:tblPrEx>
          <w:tblCellMar>
            <w:top w:w="0" w:type="dxa"/>
            <w:left w:w="108" w:type="dxa"/>
            <w:bottom w:w="0" w:type="dxa"/>
            <w:right w:w="108" w:type="dxa"/>
          </w:tblCellMar>
        </w:tblPrEx>
        <w:trPr>
          <w:cantSplit/>
          <w:trHeight w:val="9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.建立水产苗种引进档案，对引进的水产苗种进行质量检测；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.对发现的异常情况及时处置。</w:t>
            </w:r>
          </w:p>
        </w:tc>
      </w:tr>
      <w:tr>
        <w:tblPrEx>
          <w:tblCellMar>
            <w:top w:w="0" w:type="dxa"/>
            <w:left w:w="108" w:type="dxa"/>
            <w:bottom w:w="0" w:type="dxa"/>
            <w:right w:w="108" w:type="dxa"/>
          </w:tblCellMar>
        </w:tblPrEx>
        <w:trPr>
          <w:cantSplit/>
          <w:trHeight w:val="12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.建立协调机制；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.开展科普宣传活动；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.建立普查和监测制度；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.对入侵物种进行监督管理。</w:t>
            </w:r>
          </w:p>
        </w:tc>
      </w:tr>
      <w:tr>
        <w:tblPrEx>
          <w:tblCellMar>
            <w:top w:w="0" w:type="dxa"/>
            <w:left w:w="108" w:type="dxa"/>
            <w:bottom w:w="0" w:type="dxa"/>
            <w:right w:w="108" w:type="dxa"/>
          </w:tblCellMar>
        </w:tblPrEx>
        <w:trPr>
          <w:cantSplit/>
          <w:trHeight w:val="13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区农业农村局、区市场监督管理局：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.开展农业机械日常巡查和实地检查，对发现的问题依法处置；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.开展农业机械安全检验，发现隐患责令整改；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.加强农业机械安全法律法规、操作规程、安全常识的宣传教育和培训。</w:t>
            </w:r>
          </w:p>
        </w:tc>
      </w:tr>
      <w:tr>
        <w:tblPrEx>
          <w:tblCellMar>
            <w:top w:w="0" w:type="dxa"/>
            <w:left w:w="108" w:type="dxa"/>
            <w:bottom w:w="0" w:type="dxa"/>
            <w:right w:w="108" w:type="dxa"/>
          </w:tblCellMar>
        </w:tblPrEx>
        <w:trPr>
          <w:cantSplit/>
          <w:trHeight w:val="9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组织开展收割机、拖拉机等农机技能培训班。</w:t>
            </w:r>
          </w:p>
        </w:tc>
      </w:tr>
      <w:tr>
        <w:tblPrEx>
          <w:tblCellMar>
            <w:top w:w="0" w:type="dxa"/>
            <w:left w:w="108" w:type="dxa"/>
            <w:bottom w:w="0" w:type="dxa"/>
            <w:right w:w="108" w:type="dxa"/>
          </w:tblCellMar>
        </w:tblPrEx>
        <w:trPr>
          <w:cantSplit/>
          <w:trHeight w:val="8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.开展废弃物利用相关知识的宣传教育；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.开展设施建设指导和技术推广。</w:t>
            </w:r>
          </w:p>
        </w:tc>
      </w:tr>
      <w:tr>
        <w:tblPrEx>
          <w:tblCellMar>
            <w:top w:w="0" w:type="dxa"/>
            <w:left w:w="108" w:type="dxa"/>
            <w:bottom w:w="0" w:type="dxa"/>
            <w:right w:w="108" w:type="dxa"/>
          </w:tblCellMar>
        </w:tblPrEx>
        <w:trPr>
          <w:cantSplit/>
          <w:trHeight w:val="11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.进行审核检验，发放证书、牌照；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.建立拖拉机登记档案。</w:t>
            </w:r>
          </w:p>
        </w:tc>
      </w:tr>
      <w:tr>
        <w:tblPrEx>
          <w:tblCellMar>
            <w:top w:w="0" w:type="dxa"/>
            <w:left w:w="108" w:type="dxa"/>
            <w:bottom w:w="0" w:type="dxa"/>
            <w:right w:w="108" w:type="dxa"/>
          </w:tblCellMar>
        </w:tblPrEx>
        <w:trPr>
          <w:cantSplit/>
          <w:trHeight w:val="12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.组织申请人员进行相应的理论考试和实操评估；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.发放操作证书；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.定期对操作人员进行监督检查，发现问题及时处置。</w:t>
            </w:r>
          </w:p>
        </w:tc>
      </w:tr>
      <w:tr>
        <w:tblPrEx>
          <w:tblCellMar>
            <w:top w:w="0" w:type="dxa"/>
            <w:left w:w="108" w:type="dxa"/>
            <w:bottom w:w="0" w:type="dxa"/>
            <w:right w:w="108" w:type="dxa"/>
          </w:tblCellMar>
        </w:tblPrEx>
        <w:trPr>
          <w:cantSplit/>
          <w:trHeight w:val="7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农作物种子质量纠纷田间现场鉴定</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.组织专家进行鉴定，出具鉴定结论；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.依法查处制售假劣种子行为。</w:t>
            </w:r>
          </w:p>
        </w:tc>
      </w:tr>
      <w:tr>
        <w:tblPrEx>
          <w:tblCellMar>
            <w:top w:w="0" w:type="dxa"/>
            <w:left w:w="108" w:type="dxa"/>
            <w:bottom w:w="0" w:type="dxa"/>
            <w:right w:w="108" w:type="dxa"/>
          </w:tblCellMar>
        </w:tblPrEx>
        <w:trPr>
          <w:cantSplit/>
          <w:trHeight w:val="8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“富民贷”推广工作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方正公文仿宋" w:cs="Times New Roman"/>
                <w:b/>
                <w:bCs/>
                <w:lang w:val="en-US" w:eastAsia="zh-CN" w:bidi="ar"/>
              </w:rPr>
            </w:pPr>
            <w:r>
              <w:rPr>
                <w:rStyle w:val="18"/>
                <w:rFonts w:hint="eastAsia" w:hAnsi="方正公文黑体" w:eastAsia="方正公文黑体"/>
                <w:color w:val="auto"/>
                <w:lang w:eastAsia="zh-CN" w:bidi="ar"/>
              </w:rPr>
              <w:t>六、城乡建设（</w:t>
            </w:r>
            <w:r>
              <w:rPr>
                <w:rStyle w:val="18"/>
                <w:rFonts w:hint="eastAsia" w:ascii="Times New Roman" w:hAnsi="Times New Roman"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270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开展违法建设、私搭乱建、“拆违打非”、卫片图斑的核查整治工作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.组织有关部门对违法建设、私搭乱建等行为进行核查、整治；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.开展“拆违打非”工作。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负责卫片图斑的核查、整治工作。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负责乱搭乱建的监督管理。</w:t>
            </w:r>
          </w:p>
        </w:tc>
      </w:tr>
      <w:tr>
        <w:tblPrEx>
          <w:tblCellMar>
            <w:top w:w="0" w:type="dxa"/>
            <w:left w:w="108" w:type="dxa"/>
            <w:bottom w:w="0" w:type="dxa"/>
            <w:right w:w="108" w:type="dxa"/>
          </w:tblCellMar>
        </w:tblPrEx>
        <w:trPr>
          <w:cantSplit/>
          <w:trHeight w:val="106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.督促房屋产权人委托第三方专业机构对房屋安全状况进行专业鉴定，出鉴定评定报告；</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.建立房屋安全档案；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.发现房屋安全问题的，及时通知业主或使用人限期整改；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.依法处置不配合整改和整改不到位问题。</w:t>
            </w:r>
          </w:p>
        </w:tc>
      </w:tr>
      <w:tr>
        <w:tblPrEx>
          <w:tblCellMar>
            <w:top w:w="0" w:type="dxa"/>
            <w:left w:w="108" w:type="dxa"/>
            <w:bottom w:w="0" w:type="dxa"/>
            <w:right w:w="108" w:type="dxa"/>
          </w:tblCellMar>
        </w:tblPrEx>
        <w:trPr>
          <w:cantSplit/>
          <w:trHeight w:val="9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44" name="图片_17"/>
                  <wp:cNvGraphicFramePr/>
                  <a:graphic xmlns:a="http://schemas.openxmlformats.org/drawingml/2006/main">
                    <a:graphicData uri="http://schemas.openxmlformats.org/drawingml/2006/picture">
                      <pic:pic xmlns:pic="http://schemas.openxmlformats.org/drawingml/2006/picture">
                        <pic:nvPicPr>
                          <pic:cNvPr id="644" name="图片_17"/>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5" name="图片_1"/>
                  <wp:cNvGraphicFramePr/>
                  <a:graphic xmlns:a="http://schemas.openxmlformats.org/drawingml/2006/main">
                    <a:graphicData uri="http://schemas.openxmlformats.org/drawingml/2006/picture">
                      <pic:pic xmlns:pic="http://schemas.openxmlformats.org/drawingml/2006/picture">
                        <pic:nvPicPr>
                          <pic:cNvPr id="645" name="图片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6" name="图片_1_SpCnt_1"/>
                  <wp:cNvGraphicFramePr/>
                  <a:graphic xmlns:a="http://schemas.openxmlformats.org/drawingml/2006/main">
                    <a:graphicData uri="http://schemas.openxmlformats.org/drawingml/2006/picture">
                      <pic:pic xmlns:pic="http://schemas.openxmlformats.org/drawingml/2006/picture">
                        <pic:nvPicPr>
                          <pic:cNvPr id="646" name="图片_1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47" name="图片_1_SpCnt_2"/>
                  <wp:cNvGraphicFramePr/>
                  <a:graphic xmlns:a="http://schemas.openxmlformats.org/drawingml/2006/main">
                    <a:graphicData uri="http://schemas.openxmlformats.org/drawingml/2006/picture">
                      <pic:pic xmlns:pic="http://schemas.openxmlformats.org/drawingml/2006/picture">
                        <pic:nvPicPr>
                          <pic:cNvPr id="647" name="图片_1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8" name="图片_1_SpCnt_3"/>
                  <wp:cNvGraphicFramePr/>
                  <a:graphic xmlns:a="http://schemas.openxmlformats.org/drawingml/2006/main">
                    <a:graphicData uri="http://schemas.openxmlformats.org/drawingml/2006/picture">
                      <pic:pic xmlns:pic="http://schemas.openxmlformats.org/drawingml/2006/picture">
                        <pic:nvPicPr>
                          <pic:cNvPr id="648" name="图片_1_SpCnt_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9" name="图片_1_SpCnt_4"/>
                  <wp:cNvGraphicFramePr/>
                  <a:graphic xmlns:a="http://schemas.openxmlformats.org/drawingml/2006/main">
                    <a:graphicData uri="http://schemas.openxmlformats.org/drawingml/2006/picture">
                      <pic:pic xmlns:pic="http://schemas.openxmlformats.org/drawingml/2006/picture">
                        <pic:nvPicPr>
                          <pic:cNvPr id="649" name="图片_1_SpCnt_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50" name="图片_1_SpCnt_5"/>
                  <wp:cNvGraphicFramePr/>
                  <a:graphic xmlns:a="http://schemas.openxmlformats.org/drawingml/2006/main">
                    <a:graphicData uri="http://schemas.openxmlformats.org/drawingml/2006/picture">
                      <pic:pic xmlns:pic="http://schemas.openxmlformats.org/drawingml/2006/picture">
                        <pic:nvPicPr>
                          <pic:cNvPr id="650" name="图片_1_SpCnt_5"/>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1" name="图片_2"/>
                  <wp:cNvGraphicFramePr/>
                  <a:graphic xmlns:a="http://schemas.openxmlformats.org/drawingml/2006/main">
                    <a:graphicData uri="http://schemas.openxmlformats.org/drawingml/2006/picture">
                      <pic:pic xmlns:pic="http://schemas.openxmlformats.org/drawingml/2006/picture">
                        <pic:nvPicPr>
                          <pic:cNvPr id="651" name="图片_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2" name="图片_2_SpCnt_1"/>
                  <wp:cNvGraphicFramePr/>
                  <a:graphic xmlns:a="http://schemas.openxmlformats.org/drawingml/2006/main">
                    <a:graphicData uri="http://schemas.openxmlformats.org/drawingml/2006/picture">
                      <pic:pic xmlns:pic="http://schemas.openxmlformats.org/drawingml/2006/picture">
                        <pic:nvPicPr>
                          <pic:cNvPr id="652" name="图片_2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3" name="图片_1_SpCnt_6"/>
                  <wp:cNvGraphicFramePr/>
                  <a:graphic xmlns:a="http://schemas.openxmlformats.org/drawingml/2006/main">
                    <a:graphicData uri="http://schemas.openxmlformats.org/drawingml/2006/picture">
                      <pic:pic xmlns:pic="http://schemas.openxmlformats.org/drawingml/2006/picture">
                        <pic:nvPicPr>
                          <pic:cNvPr id="653" name="图片_1_SpCnt_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4" name="图片_2_SpCnt_2"/>
                  <wp:cNvGraphicFramePr/>
                  <a:graphic xmlns:a="http://schemas.openxmlformats.org/drawingml/2006/main">
                    <a:graphicData uri="http://schemas.openxmlformats.org/drawingml/2006/picture">
                      <pic:pic xmlns:pic="http://schemas.openxmlformats.org/drawingml/2006/picture">
                        <pic:nvPicPr>
                          <pic:cNvPr id="654" name="图片_2_SpCnt_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5" name="图片_2_SpCnt_3"/>
                  <wp:cNvGraphicFramePr/>
                  <a:graphic xmlns:a="http://schemas.openxmlformats.org/drawingml/2006/main">
                    <a:graphicData uri="http://schemas.openxmlformats.org/drawingml/2006/picture">
                      <pic:pic xmlns:pic="http://schemas.openxmlformats.org/drawingml/2006/picture">
                        <pic:nvPicPr>
                          <pic:cNvPr id="655" name="图片_2_SpCnt_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6" name="图片_1_SpCnt_7"/>
                  <wp:cNvGraphicFramePr/>
                  <a:graphic xmlns:a="http://schemas.openxmlformats.org/drawingml/2006/main">
                    <a:graphicData uri="http://schemas.openxmlformats.org/drawingml/2006/picture">
                      <pic:pic xmlns:pic="http://schemas.openxmlformats.org/drawingml/2006/picture">
                        <pic:nvPicPr>
                          <pic:cNvPr id="656" name="图片_1_SpCnt_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7" name="图片_10"/>
                  <wp:cNvGraphicFramePr/>
                  <a:graphic xmlns:a="http://schemas.openxmlformats.org/drawingml/2006/main">
                    <a:graphicData uri="http://schemas.openxmlformats.org/drawingml/2006/picture">
                      <pic:pic xmlns:pic="http://schemas.openxmlformats.org/drawingml/2006/picture">
                        <pic:nvPicPr>
                          <pic:cNvPr id="657" name="图片_1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8" name="图片_9"/>
                  <wp:cNvGraphicFramePr/>
                  <a:graphic xmlns:a="http://schemas.openxmlformats.org/drawingml/2006/main">
                    <a:graphicData uri="http://schemas.openxmlformats.org/drawingml/2006/picture">
                      <pic:pic xmlns:pic="http://schemas.openxmlformats.org/drawingml/2006/picture">
                        <pic:nvPicPr>
                          <pic:cNvPr id="658" name="图片_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59" name="图片_2_SpCnt_4"/>
                  <wp:cNvGraphicFramePr/>
                  <a:graphic xmlns:a="http://schemas.openxmlformats.org/drawingml/2006/main">
                    <a:graphicData uri="http://schemas.openxmlformats.org/drawingml/2006/picture">
                      <pic:pic xmlns:pic="http://schemas.openxmlformats.org/drawingml/2006/picture">
                        <pic:nvPicPr>
                          <pic:cNvPr id="659" name="图片_2_SpCnt_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0" name="图片_1_SpCnt_8"/>
                  <wp:cNvGraphicFramePr/>
                  <a:graphic xmlns:a="http://schemas.openxmlformats.org/drawingml/2006/main">
                    <a:graphicData uri="http://schemas.openxmlformats.org/drawingml/2006/picture">
                      <pic:pic xmlns:pic="http://schemas.openxmlformats.org/drawingml/2006/picture">
                        <pic:nvPicPr>
                          <pic:cNvPr id="660" name="图片_1_SpCnt_8"/>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61" name="图片_6"/>
                  <wp:cNvGraphicFramePr/>
                  <a:graphic xmlns:a="http://schemas.openxmlformats.org/drawingml/2006/main">
                    <a:graphicData uri="http://schemas.openxmlformats.org/drawingml/2006/picture">
                      <pic:pic xmlns:pic="http://schemas.openxmlformats.org/drawingml/2006/picture">
                        <pic:nvPicPr>
                          <pic:cNvPr id="661" name="图片_6"/>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62" name="图片_5"/>
                  <wp:cNvGraphicFramePr/>
                  <a:graphic xmlns:a="http://schemas.openxmlformats.org/drawingml/2006/main">
                    <a:graphicData uri="http://schemas.openxmlformats.org/drawingml/2006/picture">
                      <pic:pic xmlns:pic="http://schemas.openxmlformats.org/drawingml/2006/picture">
                        <pic:nvPicPr>
                          <pic:cNvPr id="662" name="图片_5"/>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3" name="图片_2_SpCnt_5"/>
                  <wp:cNvGraphicFramePr/>
                  <a:graphic xmlns:a="http://schemas.openxmlformats.org/drawingml/2006/main">
                    <a:graphicData uri="http://schemas.openxmlformats.org/drawingml/2006/picture">
                      <pic:pic xmlns:pic="http://schemas.openxmlformats.org/drawingml/2006/picture">
                        <pic:nvPicPr>
                          <pic:cNvPr id="663" name="图片_2_SpCnt_5"/>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4" name="图片_1_SpCnt_9"/>
                  <wp:cNvGraphicFramePr/>
                  <a:graphic xmlns:a="http://schemas.openxmlformats.org/drawingml/2006/main">
                    <a:graphicData uri="http://schemas.openxmlformats.org/drawingml/2006/picture">
                      <pic:pic xmlns:pic="http://schemas.openxmlformats.org/drawingml/2006/picture">
                        <pic:nvPicPr>
                          <pic:cNvPr id="664" name="图片_1_SpCnt_9"/>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65" name="图片_10_SpCnt_1"/>
                  <wp:cNvGraphicFramePr/>
                  <a:graphic xmlns:a="http://schemas.openxmlformats.org/drawingml/2006/main">
                    <a:graphicData uri="http://schemas.openxmlformats.org/drawingml/2006/picture">
                      <pic:pic xmlns:pic="http://schemas.openxmlformats.org/drawingml/2006/picture">
                        <pic:nvPicPr>
                          <pic:cNvPr id="665" name="图片_10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66" name="图片_9_SpCnt_1"/>
                  <wp:cNvGraphicFramePr/>
                  <a:graphic xmlns:a="http://schemas.openxmlformats.org/drawingml/2006/main">
                    <a:graphicData uri="http://schemas.openxmlformats.org/drawingml/2006/picture">
                      <pic:pic xmlns:pic="http://schemas.openxmlformats.org/drawingml/2006/picture">
                        <pic:nvPicPr>
                          <pic:cNvPr id="666" name="图片_9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7" name="图片_2_SpCnt_6"/>
                  <wp:cNvGraphicFramePr/>
                  <a:graphic xmlns:a="http://schemas.openxmlformats.org/drawingml/2006/main">
                    <a:graphicData uri="http://schemas.openxmlformats.org/drawingml/2006/picture">
                      <pic:pic xmlns:pic="http://schemas.openxmlformats.org/drawingml/2006/picture">
                        <pic:nvPicPr>
                          <pic:cNvPr id="667" name="图片_2_SpCnt_6"/>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8" name="图片_1_SpCnt_10"/>
                  <wp:cNvGraphicFramePr/>
                  <a:graphic xmlns:a="http://schemas.openxmlformats.org/drawingml/2006/main">
                    <a:graphicData uri="http://schemas.openxmlformats.org/drawingml/2006/picture">
                      <pic:pic xmlns:pic="http://schemas.openxmlformats.org/drawingml/2006/picture">
                        <pic:nvPicPr>
                          <pic:cNvPr id="668" name="图片_1_SpCnt_10"/>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69" name="图片_6_SpCnt_1"/>
                  <wp:cNvGraphicFramePr/>
                  <a:graphic xmlns:a="http://schemas.openxmlformats.org/drawingml/2006/main">
                    <a:graphicData uri="http://schemas.openxmlformats.org/drawingml/2006/picture">
                      <pic:pic xmlns:pic="http://schemas.openxmlformats.org/drawingml/2006/picture">
                        <pic:nvPicPr>
                          <pic:cNvPr id="669" name="图片_6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0" name="图片_5_SpCnt_1"/>
                  <wp:cNvGraphicFramePr/>
                  <a:graphic xmlns:a="http://schemas.openxmlformats.org/drawingml/2006/main">
                    <a:graphicData uri="http://schemas.openxmlformats.org/drawingml/2006/picture">
                      <pic:pic xmlns:pic="http://schemas.openxmlformats.org/drawingml/2006/picture">
                        <pic:nvPicPr>
                          <pic:cNvPr id="670" name="图片_5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71" name="图片_2_SpCnt_7"/>
                  <wp:cNvGraphicFramePr/>
                  <a:graphic xmlns:a="http://schemas.openxmlformats.org/drawingml/2006/main">
                    <a:graphicData uri="http://schemas.openxmlformats.org/drawingml/2006/picture">
                      <pic:pic xmlns:pic="http://schemas.openxmlformats.org/drawingml/2006/picture">
                        <pic:nvPicPr>
                          <pic:cNvPr id="671" name="图片_2_SpCnt_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72" name="图片_1_SpCnt_11"/>
                  <wp:cNvGraphicFramePr/>
                  <a:graphic xmlns:a="http://schemas.openxmlformats.org/drawingml/2006/main">
                    <a:graphicData uri="http://schemas.openxmlformats.org/drawingml/2006/picture">
                      <pic:pic xmlns:pic="http://schemas.openxmlformats.org/drawingml/2006/picture">
                        <pic:nvPicPr>
                          <pic:cNvPr id="672" name="图片_1_SpCnt_1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3" name="图片_10_SpCnt_2"/>
                  <wp:cNvGraphicFramePr/>
                  <a:graphic xmlns:a="http://schemas.openxmlformats.org/drawingml/2006/main">
                    <a:graphicData uri="http://schemas.openxmlformats.org/drawingml/2006/picture">
                      <pic:pic xmlns:pic="http://schemas.openxmlformats.org/drawingml/2006/picture">
                        <pic:nvPicPr>
                          <pic:cNvPr id="673" name="图片_10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4" name="图片_9_SpCnt_2"/>
                  <wp:cNvGraphicFramePr/>
                  <a:graphic xmlns:a="http://schemas.openxmlformats.org/drawingml/2006/main">
                    <a:graphicData uri="http://schemas.openxmlformats.org/drawingml/2006/picture">
                      <pic:pic xmlns:pic="http://schemas.openxmlformats.org/drawingml/2006/picture">
                        <pic:nvPicPr>
                          <pic:cNvPr id="674" name="图片_9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75" name="图片_2_SpCnt_8"/>
                  <wp:cNvGraphicFramePr/>
                  <a:graphic xmlns:a="http://schemas.openxmlformats.org/drawingml/2006/main">
                    <a:graphicData uri="http://schemas.openxmlformats.org/drawingml/2006/picture">
                      <pic:pic xmlns:pic="http://schemas.openxmlformats.org/drawingml/2006/picture">
                        <pic:nvPicPr>
                          <pic:cNvPr id="675" name="图片_2_SpCnt_8"/>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76" name="图片_1_SpCnt_12"/>
                  <wp:cNvGraphicFramePr/>
                  <a:graphic xmlns:a="http://schemas.openxmlformats.org/drawingml/2006/main">
                    <a:graphicData uri="http://schemas.openxmlformats.org/drawingml/2006/picture">
                      <pic:pic xmlns:pic="http://schemas.openxmlformats.org/drawingml/2006/picture">
                        <pic:nvPicPr>
                          <pic:cNvPr id="676" name="图片_1_SpCnt_12"/>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7" name="图片_6_SpCnt_2"/>
                  <wp:cNvGraphicFramePr/>
                  <a:graphic xmlns:a="http://schemas.openxmlformats.org/drawingml/2006/main">
                    <a:graphicData uri="http://schemas.openxmlformats.org/drawingml/2006/picture">
                      <pic:pic xmlns:pic="http://schemas.openxmlformats.org/drawingml/2006/picture">
                        <pic:nvPicPr>
                          <pic:cNvPr id="677" name="图片_6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8" name="图片_5_SpCnt_2"/>
                  <wp:cNvGraphicFramePr/>
                  <a:graphic xmlns:a="http://schemas.openxmlformats.org/drawingml/2006/main">
                    <a:graphicData uri="http://schemas.openxmlformats.org/drawingml/2006/picture">
                      <pic:pic xmlns:pic="http://schemas.openxmlformats.org/drawingml/2006/picture">
                        <pic:nvPicPr>
                          <pic:cNvPr id="678" name="图片_5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79" name="图片_2_SpCnt_9"/>
                  <wp:cNvGraphicFramePr/>
                  <a:graphic xmlns:a="http://schemas.openxmlformats.org/drawingml/2006/main">
                    <a:graphicData uri="http://schemas.openxmlformats.org/drawingml/2006/picture">
                      <pic:pic xmlns:pic="http://schemas.openxmlformats.org/drawingml/2006/picture">
                        <pic:nvPicPr>
                          <pic:cNvPr id="679" name="图片_2_SpCnt_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80" name="图片_1_SpCnt_13"/>
                  <wp:cNvGraphicFramePr/>
                  <a:graphic xmlns:a="http://schemas.openxmlformats.org/drawingml/2006/main">
                    <a:graphicData uri="http://schemas.openxmlformats.org/drawingml/2006/picture">
                      <pic:pic xmlns:pic="http://schemas.openxmlformats.org/drawingml/2006/picture">
                        <pic:nvPicPr>
                          <pic:cNvPr id="680" name="图片_1_SpCnt_1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81" name="图片_2_SpCnt_10"/>
                  <wp:cNvGraphicFramePr/>
                  <a:graphic xmlns:a="http://schemas.openxmlformats.org/drawingml/2006/main">
                    <a:graphicData uri="http://schemas.openxmlformats.org/drawingml/2006/picture">
                      <pic:pic xmlns:pic="http://schemas.openxmlformats.org/drawingml/2006/picture">
                        <pic:nvPicPr>
                          <pic:cNvPr id="681" name="图片_2_SpCnt_1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82" name="图片_1_SpCnt_14"/>
                  <wp:cNvGraphicFramePr/>
                  <a:graphic xmlns:a="http://schemas.openxmlformats.org/drawingml/2006/main">
                    <a:graphicData uri="http://schemas.openxmlformats.org/drawingml/2006/picture">
                      <pic:pic xmlns:pic="http://schemas.openxmlformats.org/drawingml/2006/picture">
                        <pic:nvPicPr>
                          <pic:cNvPr id="682" name="图片_1_SpCnt_1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83" name="图片_2_SpCnt_11"/>
                  <wp:cNvGraphicFramePr/>
                  <a:graphic xmlns:a="http://schemas.openxmlformats.org/drawingml/2006/main">
                    <a:graphicData uri="http://schemas.openxmlformats.org/drawingml/2006/picture">
                      <pic:pic xmlns:pic="http://schemas.openxmlformats.org/drawingml/2006/picture">
                        <pic:nvPicPr>
                          <pic:cNvPr id="683" name="图片_2_SpCnt_1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84" name="图片_1_SpCnt_15"/>
                  <wp:cNvGraphicFramePr/>
                  <a:graphic xmlns:a="http://schemas.openxmlformats.org/drawingml/2006/main">
                    <a:graphicData uri="http://schemas.openxmlformats.org/drawingml/2006/picture">
                      <pic:pic xmlns:pic="http://schemas.openxmlformats.org/drawingml/2006/picture">
                        <pic:nvPicPr>
                          <pic:cNvPr id="684" name="图片_1_SpCnt_15"/>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85" name="图片_2_SpCnt_12"/>
                  <wp:cNvGraphicFramePr/>
                  <a:graphic xmlns:a="http://schemas.openxmlformats.org/drawingml/2006/main">
                    <a:graphicData uri="http://schemas.openxmlformats.org/drawingml/2006/picture">
                      <pic:pic xmlns:pic="http://schemas.openxmlformats.org/drawingml/2006/picture">
                        <pic:nvPicPr>
                          <pic:cNvPr id="685" name="图片_2_SpCnt_12"/>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86" name="图片_1_SpCnt_16"/>
                  <wp:cNvGraphicFramePr/>
                  <a:graphic xmlns:a="http://schemas.openxmlformats.org/drawingml/2006/main">
                    <a:graphicData uri="http://schemas.openxmlformats.org/drawingml/2006/picture">
                      <pic:pic xmlns:pic="http://schemas.openxmlformats.org/drawingml/2006/picture">
                        <pic:nvPicPr>
                          <pic:cNvPr id="686" name="图片_1_SpCnt_16"/>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87" name="图片_14"/>
                  <wp:cNvGraphicFramePr/>
                  <a:graphic xmlns:a="http://schemas.openxmlformats.org/drawingml/2006/main">
                    <a:graphicData uri="http://schemas.openxmlformats.org/drawingml/2006/picture">
                      <pic:pic xmlns:pic="http://schemas.openxmlformats.org/drawingml/2006/picture">
                        <pic:nvPicPr>
                          <pic:cNvPr id="687" name="图片_14"/>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88" name="图片_13"/>
                  <wp:cNvGraphicFramePr/>
                  <a:graphic xmlns:a="http://schemas.openxmlformats.org/drawingml/2006/main">
                    <a:graphicData uri="http://schemas.openxmlformats.org/drawingml/2006/picture">
                      <pic:pic xmlns:pic="http://schemas.openxmlformats.org/drawingml/2006/picture">
                        <pic:nvPicPr>
                          <pic:cNvPr id="688" name="图片_13"/>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89" name="图片_2_SpCnt_13"/>
                  <wp:cNvGraphicFramePr/>
                  <a:graphic xmlns:a="http://schemas.openxmlformats.org/drawingml/2006/main">
                    <a:graphicData uri="http://schemas.openxmlformats.org/drawingml/2006/picture">
                      <pic:pic xmlns:pic="http://schemas.openxmlformats.org/drawingml/2006/picture">
                        <pic:nvPicPr>
                          <pic:cNvPr id="689" name="图片_2_SpCnt_13"/>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90" name="图片_1_SpCnt_17"/>
                  <wp:cNvGraphicFramePr/>
                  <a:graphic xmlns:a="http://schemas.openxmlformats.org/drawingml/2006/main">
                    <a:graphicData uri="http://schemas.openxmlformats.org/drawingml/2006/picture">
                      <pic:pic xmlns:pic="http://schemas.openxmlformats.org/drawingml/2006/picture">
                        <pic:nvPicPr>
                          <pic:cNvPr id="690" name="图片_1_SpCnt_17"/>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91" name="图片_10_SpCnt_3"/>
                  <wp:cNvGraphicFramePr/>
                  <a:graphic xmlns:a="http://schemas.openxmlformats.org/drawingml/2006/main">
                    <a:graphicData uri="http://schemas.openxmlformats.org/drawingml/2006/picture">
                      <pic:pic xmlns:pic="http://schemas.openxmlformats.org/drawingml/2006/picture">
                        <pic:nvPicPr>
                          <pic:cNvPr id="691" name="图片_10_SpCnt_3"/>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92" name="图片_9_SpCnt_3"/>
                  <wp:cNvGraphicFramePr/>
                  <a:graphic xmlns:a="http://schemas.openxmlformats.org/drawingml/2006/main">
                    <a:graphicData uri="http://schemas.openxmlformats.org/drawingml/2006/picture">
                      <pic:pic xmlns:pic="http://schemas.openxmlformats.org/drawingml/2006/picture">
                        <pic:nvPicPr>
                          <pic:cNvPr id="692" name="图片_9_SpCnt_3"/>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693" name="图片_2_SpCnt_14"/>
                  <wp:cNvGraphicFramePr/>
                  <a:graphic xmlns:a="http://schemas.openxmlformats.org/drawingml/2006/main">
                    <a:graphicData uri="http://schemas.openxmlformats.org/drawingml/2006/picture">
                      <pic:pic xmlns:pic="http://schemas.openxmlformats.org/drawingml/2006/picture">
                        <pic:nvPicPr>
                          <pic:cNvPr id="693" name="图片_2_SpCnt_14"/>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694" name="图片_1_SpCnt_18"/>
                  <wp:cNvGraphicFramePr/>
                  <a:graphic xmlns:a="http://schemas.openxmlformats.org/drawingml/2006/main">
                    <a:graphicData uri="http://schemas.openxmlformats.org/drawingml/2006/picture">
                      <pic:pic xmlns:pic="http://schemas.openxmlformats.org/drawingml/2006/picture">
                        <pic:nvPicPr>
                          <pic:cNvPr id="694" name="图片_1_SpCnt_18"/>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95" name="图片_6_SpCnt_3"/>
                  <wp:cNvGraphicFramePr/>
                  <a:graphic xmlns:a="http://schemas.openxmlformats.org/drawingml/2006/main">
                    <a:graphicData uri="http://schemas.openxmlformats.org/drawingml/2006/picture">
                      <pic:pic xmlns:pic="http://schemas.openxmlformats.org/drawingml/2006/picture">
                        <pic:nvPicPr>
                          <pic:cNvPr id="695" name="图片_6_SpCnt_3"/>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96" name="图片_5_SpCnt_3"/>
                  <wp:cNvGraphicFramePr/>
                  <a:graphic xmlns:a="http://schemas.openxmlformats.org/drawingml/2006/main">
                    <a:graphicData uri="http://schemas.openxmlformats.org/drawingml/2006/picture">
                      <pic:pic xmlns:pic="http://schemas.openxmlformats.org/drawingml/2006/picture">
                        <pic:nvPicPr>
                          <pic:cNvPr id="696" name="图片_5_SpCnt_3"/>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97" name="图片_2_SpCnt_15"/>
                  <wp:cNvGraphicFramePr/>
                  <a:graphic xmlns:a="http://schemas.openxmlformats.org/drawingml/2006/main">
                    <a:graphicData uri="http://schemas.openxmlformats.org/drawingml/2006/picture">
                      <pic:pic xmlns:pic="http://schemas.openxmlformats.org/drawingml/2006/picture">
                        <pic:nvPicPr>
                          <pic:cNvPr id="697" name="图片_2_SpCnt_1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98" name="图片_1_SpCnt_19"/>
                  <wp:cNvGraphicFramePr/>
                  <a:graphic xmlns:a="http://schemas.openxmlformats.org/drawingml/2006/main">
                    <a:graphicData uri="http://schemas.openxmlformats.org/drawingml/2006/picture">
                      <pic:pic xmlns:pic="http://schemas.openxmlformats.org/drawingml/2006/picture">
                        <pic:nvPicPr>
                          <pic:cNvPr id="698" name="图片_1_SpCnt_1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99" name="图片_2_SpCnt_16"/>
                  <wp:cNvGraphicFramePr/>
                  <a:graphic xmlns:a="http://schemas.openxmlformats.org/drawingml/2006/main">
                    <a:graphicData uri="http://schemas.openxmlformats.org/drawingml/2006/picture">
                      <pic:pic xmlns:pic="http://schemas.openxmlformats.org/drawingml/2006/picture">
                        <pic:nvPicPr>
                          <pic:cNvPr id="699" name="图片_2_SpCnt_16"/>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00" name="图片_1_SpCnt_20"/>
                  <wp:cNvGraphicFramePr/>
                  <a:graphic xmlns:a="http://schemas.openxmlformats.org/drawingml/2006/main">
                    <a:graphicData uri="http://schemas.openxmlformats.org/drawingml/2006/picture">
                      <pic:pic xmlns:pic="http://schemas.openxmlformats.org/drawingml/2006/picture">
                        <pic:nvPicPr>
                          <pic:cNvPr id="700" name="图片_1_SpCnt_20"/>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1" name="图片_2_SpCnt_17"/>
                  <wp:cNvGraphicFramePr/>
                  <a:graphic xmlns:a="http://schemas.openxmlformats.org/drawingml/2006/main">
                    <a:graphicData uri="http://schemas.openxmlformats.org/drawingml/2006/picture">
                      <pic:pic xmlns:pic="http://schemas.openxmlformats.org/drawingml/2006/picture">
                        <pic:nvPicPr>
                          <pic:cNvPr id="701" name="图片_2_SpCnt_1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2" name="图片_1_SpCnt_21"/>
                  <wp:cNvGraphicFramePr/>
                  <a:graphic xmlns:a="http://schemas.openxmlformats.org/drawingml/2006/main">
                    <a:graphicData uri="http://schemas.openxmlformats.org/drawingml/2006/picture">
                      <pic:pic xmlns:pic="http://schemas.openxmlformats.org/drawingml/2006/picture">
                        <pic:nvPicPr>
                          <pic:cNvPr id="702" name="图片_1_SpCnt_2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3" name="图片_2_SpCnt_18"/>
                  <wp:cNvGraphicFramePr/>
                  <a:graphic xmlns:a="http://schemas.openxmlformats.org/drawingml/2006/main">
                    <a:graphicData uri="http://schemas.openxmlformats.org/drawingml/2006/picture">
                      <pic:pic xmlns:pic="http://schemas.openxmlformats.org/drawingml/2006/picture">
                        <pic:nvPicPr>
                          <pic:cNvPr id="703" name="图片_2_SpCnt_1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4" name="图片_1_SpCnt_22"/>
                  <wp:cNvGraphicFramePr/>
                  <a:graphic xmlns:a="http://schemas.openxmlformats.org/drawingml/2006/main">
                    <a:graphicData uri="http://schemas.openxmlformats.org/drawingml/2006/picture">
                      <pic:pic xmlns:pic="http://schemas.openxmlformats.org/drawingml/2006/picture">
                        <pic:nvPicPr>
                          <pic:cNvPr id="704" name="图片_1_SpCnt_2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5" name="图片_2_SpCnt_19"/>
                  <wp:cNvGraphicFramePr/>
                  <a:graphic xmlns:a="http://schemas.openxmlformats.org/drawingml/2006/main">
                    <a:graphicData uri="http://schemas.openxmlformats.org/drawingml/2006/picture">
                      <pic:pic xmlns:pic="http://schemas.openxmlformats.org/drawingml/2006/picture">
                        <pic:nvPicPr>
                          <pic:cNvPr id="705" name="图片_2_SpCnt_1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6" name="图片_1_SpCnt_23"/>
                  <wp:cNvGraphicFramePr/>
                  <a:graphic xmlns:a="http://schemas.openxmlformats.org/drawingml/2006/main">
                    <a:graphicData uri="http://schemas.openxmlformats.org/drawingml/2006/picture">
                      <pic:pic xmlns:pic="http://schemas.openxmlformats.org/drawingml/2006/picture">
                        <pic:nvPicPr>
                          <pic:cNvPr id="706" name="图片_1_SpCnt_2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7" name="图片_2_SpCnt_20"/>
                  <wp:cNvGraphicFramePr/>
                  <a:graphic xmlns:a="http://schemas.openxmlformats.org/drawingml/2006/main">
                    <a:graphicData uri="http://schemas.openxmlformats.org/drawingml/2006/picture">
                      <pic:pic xmlns:pic="http://schemas.openxmlformats.org/drawingml/2006/picture">
                        <pic:nvPicPr>
                          <pic:cNvPr id="707" name="图片_2_SpCnt_2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8" name="图片_1_SpCnt_24"/>
                  <wp:cNvGraphicFramePr/>
                  <a:graphic xmlns:a="http://schemas.openxmlformats.org/drawingml/2006/main">
                    <a:graphicData uri="http://schemas.openxmlformats.org/drawingml/2006/picture">
                      <pic:pic xmlns:pic="http://schemas.openxmlformats.org/drawingml/2006/picture">
                        <pic:nvPicPr>
                          <pic:cNvPr id="708" name="图片_1_SpCnt_2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9" name="图片_2_SpCnt_21"/>
                  <wp:cNvGraphicFramePr/>
                  <a:graphic xmlns:a="http://schemas.openxmlformats.org/drawingml/2006/main">
                    <a:graphicData uri="http://schemas.openxmlformats.org/drawingml/2006/picture">
                      <pic:pic xmlns:pic="http://schemas.openxmlformats.org/drawingml/2006/picture">
                        <pic:nvPicPr>
                          <pic:cNvPr id="709" name="图片_2_SpCnt_2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0" name="图片_1_SpCnt_25"/>
                  <wp:cNvGraphicFramePr/>
                  <a:graphic xmlns:a="http://schemas.openxmlformats.org/drawingml/2006/main">
                    <a:graphicData uri="http://schemas.openxmlformats.org/drawingml/2006/picture">
                      <pic:pic xmlns:pic="http://schemas.openxmlformats.org/drawingml/2006/picture">
                        <pic:nvPicPr>
                          <pic:cNvPr id="710" name="图片_1_SpCnt_2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11" name="图片_2_SpCnt_22"/>
                  <wp:cNvGraphicFramePr/>
                  <a:graphic xmlns:a="http://schemas.openxmlformats.org/drawingml/2006/main">
                    <a:graphicData uri="http://schemas.openxmlformats.org/drawingml/2006/picture">
                      <pic:pic xmlns:pic="http://schemas.openxmlformats.org/drawingml/2006/picture">
                        <pic:nvPicPr>
                          <pic:cNvPr id="711" name="图片_2_SpCnt_22"/>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12" name="图片_1_SpCnt_26"/>
                  <wp:cNvGraphicFramePr/>
                  <a:graphic xmlns:a="http://schemas.openxmlformats.org/drawingml/2006/main">
                    <a:graphicData uri="http://schemas.openxmlformats.org/drawingml/2006/picture">
                      <pic:pic xmlns:pic="http://schemas.openxmlformats.org/drawingml/2006/picture">
                        <pic:nvPicPr>
                          <pic:cNvPr id="712" name="图片_1_SpCnt_26"/>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3" name="图片_2_SpCnt_23"/>
                  <wp:cNvGraphicFramePr/>
                  <a:graphic xmlns:a="http://schemas.openxmlformats.org/drawingml/2006/main">
                    <a:graphicData uri="http://schemas.openxmlformats.org/drawingml/2006/picture">
                      <pic:pic xmlns:pic="http://schemas.openxmlformats.org/drawingml/2006/picture">
                        <pic:nvPicPr>
                          <pic:cNvPr id="713" name="图片_2_SpCnt_2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4" name="图片_1_SpCnt_27"/>
                  <wp:cNvGraphicFramePr/>
                  <a:graphic xmlns:a="http://schemas.openxmlformats.org/drawingml/2006/main">
                    <a:graphicData uri="http://schemas.openxmlformats.org/drawingml/2006/picture">
                      <pic:pic xmlns:pic="http://schemas.openxmlformats.org/drawingml/2006/picture">
                        <pic:nvPicPr>
                          <pic:cNvPr id="714" name="图片_1_SpCnt_2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5" name="图片_2_SpCnt_24"/>
                  <wp:cNvGraphicFramePr/>
                  <a:graphic xmlns:a="http://schemas.openxmlformats.org/drawingml/2006/main">
                    <a:graphicData uri="http://schemas.openxmlformats.org/drawingml/2006/picture">
                      <pic:pic xmlns:pic="http://schemas.openxmlformats.org/drawingml/2006/picture">
                        <pic:nvPicPr>
                          <pic:cNvPr id="715" name="图片_2_SpCnt_2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6" name="图片_1_SpCnt_28"/>
                  <wp:cNvGraphicFramePr/>
                  <a:graphic xmlns:a="http://schemas.openxmlformats.org/drawingml/2006/main">
                    <a:graphicData uri="http://schemas.openxmlformats.org/drawingml/2006/picture">
                      <pic:pic xmlns:pic="http://schemas.openxmlformats.org/drawingml/2006/picture">
                        <pic:nvPicPr>
                          <pic:cNvPr id="716" name="图片_1_SpCnt_2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7" name="图片_2_SpCnt_25"/>
                  <wp:cNvGraphicFramePr/>
                  <a:graphic xmlns:a="http://schemas.openxmlformats.org/drawingml/2006/main">
                    <a:graphicData uri="http://schemas.openxmlformats.org/drawingml/2006/picture">
                      <pic:pic xmlns:pic="http://schemas.openxmlformats.org/drawingml/2006/picture">
                        <pic:nvPicPr>
                          <pic:cNvPr id="717" name="图片_2_SpCnt_2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8" name="图片_1_SpCnt_29"/>
                  <wp:cNvGraphicFramePr/>
                  <a:graphic xmlns:a="http://schemas.openxmlformats.org/drawingml/2006/main">
                    <a:graphicData uri="http://schemas.openxmlformats.org/drawingml/2006/picture">
                      <pic:pic xmlns:pic="http://schemas.openxmlformats.org/drawingml/2006/picture">
                        <pic:nvPicPr>
                          <pic:cNvPr id="718" name="图片_1_SpCnt_2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9" name="图片_2_SpCnt_26"/>
                  <wp:cNvGraphicFramePr/>
                  <a:graphic xmlns:a="http://schemas.openxmlformats.org/drawingml/2006/main">
                    <a:graphicData uri="http://schemas.openxmlformats.org/drawingml/2006/picture">
                      <pic:pic xmlns:pic="http://schemas.openxmlformats.org/drawingml/2006/picture">
                        <pic:nvPicPr>
                          <pic:cNvPr id="719" name="图片_2_SpCnt_2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20" name="图片_1_SpCnt_30"/>
                  <wp:cNvGraphicFramePr/>
                  <a:graphic xmlns:a="http://schemas.openxmlformats.org/drawingml/2006/main">
                    <a:graphicData uri="http://schemas.openxmlformats.org/drawingml/2006/picture">
                      <pic:pic xmlns:pic="http://schemas.openxmlformats.org/drawingml/2006/picture">
                        <pic:nvPicPr>
                          <pic:cNvPr id="720" name="图片_1_SpCnt_3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21" name="图片_2_SpCnt_27"/>
                  <wp:cNvGraphicFramePr/>
                  <a:graphic xmlns:a="http://schemas.openxmlformats.org/drawingml/2006/main">
                    <a:graphicData uri="http://schemas.openxmlformats.org/drawingml/2006/picture">
                      <pic:pic xmlns:pic="http://schemas.openxmlformats.org/drawingml/2006/picture">
                        <pic:nvPicPr>
                          <pic:cNvPr id="721" name="图片_2_SpCnt_27"/>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22" name="图片_1_SpCnt_31"/>
                  <wp:cNvGraphicFramePr/>
                  <a:graphic xmlns:a="http://schemas.openxmlformats.org/drawingml/2006/main">
                    <a:graphicData uri="http://schemas.openxmlformats.org/drawingml/2006/picture">
                      <pic:pic xmlns:pic="http://schemas.openxmlformats.org/drawingml/2006/picture">
                        <pic:nvPicPr>
                          <pic:cNvPr id="722" name="图片_1_SpCnt_3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23" name="图片_2_SpCnt_28"/>
                  <wp:cNvGraphicFramePr/>
                  <a:graphic xmlns:a="http://schemas.openxmlformats.org/drawingml/2006/main">
                    <a:graphicData uri="http://schemas.openxmlformats.org/drawingml/2006/picture">
                      <pic:pic xmlns:pic="http://schemas.openxmlformats.org/drawingml/2006/picture">
                        <pic:nvPicPr>
                          <pic:cNvPr id="723" name="图片_2_SpCnt_28"/>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24" name="图片_1_SpCnt_32"/>
                  <wp:cNvGraphicFramePr/>
                  <a:graphic xmlns:a="http://schemas.openxmlformats.org/drawingml/2006/main">
                    <a:graphicData uri="http://schemas.openxmlformats.org/drawingml/2006/picture">
                      <pic:pic xmlns:pic="http://schemas.openxmlformats.org/drawingml/2006/picture">
                        <pic:nvPicPr>
                          <pic:cNvPr id="724" name="图片_1_SpCnt_32"/>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25" name="图片_14_SpCnt_1"/>
                  <wp:cNvGraphicFramePr/>
                  <a:graphic xmlns:a="http://schemas.openxmlformats.org/drawingml/2006/main">
                    <a:graphicData uri="http://schemas.openxmlformats.org/drawingml/2006/picture">
                      <pic:pic xmlns:pic="http://schemas.openxmlformats.org/drawingml/2006/picture">
                        <pic:nvPicPr>
                          <pic:cNvPr id="725" name="图片_14_SpCnt_1"/>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26" name="图片_13_SpCnt_1"/>
                  <wp:cNvGraphicFramePr/>
                  <a:graphic xmlns:a="http://schemas.openxmlformats.org/drawingml/2006/main">
                    <a:graphicData uri="http://schemas.openxmlformats.org/drawingml/2006/picture">
                      <pic:pic xmlns:pic="http://schemas.openxmlformats.org/drawingml/2006/picture">
                        <pic:nvPicPr>
                          <pic:cNvPr id="726" name="图片_13_SpCnt_1"/>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7" name="图片_2_SpCnt_29"/>
                  <wp:cNvGraphicFramePr/>
                  <a:graphic xmlns:a="http://schemas.openxmlformats.org/drawingml/2006/main">
                    <a:graphicData uri="http://schemas.openxmlformats.org/drawingml/2006/picture">
                      <pic:pic xmlns:pic="http://schemas.openxmlformats.org/drawingml/2006/picture">
                        <pic:nvPicPr>
                          <pic:cNvPr id="727" name="图片_2_SpCnt_29"/>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8" name="图片_1_SpCnt_33"/>
                  <wp:cNvGraphicFramePr/>
                  <a:graphic xmlns:a="http://schemas.openxmlformats.org/drawingml/2006/main">
                    <a:graphicData uri="http://schemas.openxmlformats.org/drawingml/2006/picture">
                      <pic:pic xmlns:pic="http://schemas.openxmlformats.org/drawingml/2006/picture">
                        <pic:nvPicPr>
                          <pic:cNvPr id="728" name="图片_1_SpCnt_33"/>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29" name="图片_10_SpCnt_4"/>
                  <wp:cNvGraphicFramePr/>
                  <a:graphic xmlns:a="http://schemas.openxmlformats.org/drawingml/2006/main">
                    <a:graphicData uri="http://schemas.openxmlformats.org/drawingml/2006/picture">
                      <pic:pic xmlns:pic="http://schemas.openxmlformats.org/drawingml/2006/picture">
                        <pic:nvPicPr>
                          <pic:cNvPr id="729" name="图片_10_SpCnt_4"/>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30" name="图片_9_SpCnt_4"/>
                  <wp:cNvGraphicFramePr/>
                  <a:graphic xmlns:a="http://schemas.openxmlformats.org/drawingml/2006/main">
                    <a:graphicData uri="http://schemas.openxmlformats.org/drawingml/2006/picture">
                      <pic:pic xmlns:pic="http://schemas.openxmlformats.org/drawingml/2006/picture">
                        <pic:nvPicPr>
                          <pic:cNvPr id="730" name="图片_9_SpCnt_4"/>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31" name="图片_2_SpCnt_30"/>
                  <wp:cNvGraphicFramePr/>
                  <a:graphic xmlns:a="http://schemas.openxmlformats.org/drawingml/2006/main">
                    <a:graphicData uri="http://schemas.openxmlformats.org/drawingml/2006/picture">
                      <pic:pic xmlns:pic="http://schemas.openxmlformats.org/drawingml/2006/picture">
                        <pic:nvPicPr>
                          <pic:cNvPr id="731" name="图片_2_SpCnt_30"/>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32" name="图片_1_SpCnt_34"/>
                  <wp:cNvGraphicFramePr/>
                  <a:graphic xmlns:a="http://schemas.openxmlformats.org/drawingml/2006/main">
                    <a:graphicData uri="http://schemas.openxmlformats.org/drawingml/2006/picture">
                      <pic:pic xmlns:pic="http://schemas.openxmlformats.org/drawingml/2006/picture">
                        <pic:nvPicPr>
                          <pic:cNvPr id="732" name="图片_1_SpCnt_34"/>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33" name="图片_6_SpCnt_4"/>
                  <wp:cNvGraphicFramePr/>
                  <a:graphic xmlns:a="http://schemas.openxmlformats.org/drawingml/2006/main">
                    <a:graphicData uri="http://schemas.openxmlformats.org/drawingml/2006/picture">
                      <pic:pic xmlns:pic="http://schemas.openxmlformats.org/drawingml/2006/picture">
                        <pic:nvPicPr>
                          <pic:cNvPr id="733" name="图片_6_SpCnt_4"/>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34" name="图片_5_SpCnt_4"/>
                  <wp:cNvGraphicFramePr/>
                  <a:graphic xmlns:a="http://schemas.openxmlformats.org/drawingml/2006/main">
                    <a:graphicData uri="http://schemas.openxmlformats.org/drawingml/2006/picture">
                      <pic:pic xmlns:pic="http://schemas.openxmlformats.org/drawingml/2006/picture">
                        <pic:nvPicPr>
                          <pic:cNvPr id="734" name="图片_5_SpCnt_4"/>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5" name="图片_2_SpCnt_31"/>
                  <wp:cNvGraphicFramePr/>
                  <a:graphic xmlns:a="http://schemas.openxmlformats.org/drawingml/2006/main">
                    <a:graphicData uri="http://schemas.openxmlformats.org/drawingml/2006/picture">
                      <pic:pic xmlns:pic="http://schemas.openxmlformats.org/drawingml/2006/picture">
                        <pic:nvPicPr>
                          <pic:cNvPr id="735" name="图片_2_SpCnt_3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6" name="图片_1_SpCnt_35"/>
                  <wp:cNvGraphicFramePr/>
                  <a:graphic xmlns:a="http://schemas.openxmlformats.org/drawingml/2006/main">
                    <a:graphicData uri="http://schemas.openxmlformats.org/drawingml/2006/picture">
                      <pic:pic xmlns:pic="http://schemas.openxmlformats.org/drawingml/2006/picture">
                        <pic:nvPicPr>
                          <pic:cNvPr id="736" name="图片_1_SpCnt_3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37" name="图片_2_SpCnt_32"/>
                  <wp:cNvGraphicFramePr/>
                  <a:graphic xmlns:a="http://schemas.openxmlformats.org/drawingml/2006/main">
                    <a:graphicData uri="http://schemas.openxmlformats.org/drawingml/2006/picture">
                      <pic:pic xmlns:pic="http://schemas.openxmlformats.org/drawingml/2006/picture">
                        <pic:nvPicPr>
                          <pic:cNvPr id="737" name="图片_2_SpCnt_3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8" name="图片_2_SpCnt_33"/>
                  <wp:cNvGraphicFramePr/>
                  <a:graphic xmlns:a="http://schemas.openxmlformats.org/drawingml/2006/main">
                    <a:graphicData uri="http://schemas.openxmlformats.org/drawingml/2006/picture">
                      <pic:pic xmlns:pic="http://schemas.openxmlformats.org/drawingml/2006/picture">
                        <pic:nvPicPr>
                          <pic:cNvPr id="738" name="图片_2_SpCnt_3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9" name="图片_1_SpCnt_36"/>
                  <wp:cNvGraphicFramePr/>
                  <a:graphic xmlns:a="http://schemas.openxmlformats.org/drawingml/2006/main">
                    <a:graphicData uri="http://schemas.openxmlformats.org/drawingml/2006/picture">
                      <pic:pic xmlns:pic="http://schemas.openxmlformats.org/drawingml/2006/picture">
                        <pic:nvPicPr>
                          <pic:cNvPr id="739" name="图片_1_SpCnt_3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0" name="图片_1_SpCnt_37"/>
                  <wp:cNvGraphicFramePr/>
                  <a:graphic xmlns:a="http://schemas.openxmlformats.org/drawingml/2006/main">
                    <a:graphicData uri="http://schemas.openxmlformats.org/drawingml/2006/picture">
                      <pic:pic xmlns:pic="http://schemas.openxmlformats.org/drawingml/2006/picture">
                        <pic:nvPicPr>
                          <pic:cNvPr id="740" name="图片_1_SpCnt_3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1" name="图片_2_SpCnt_34"/>
                  <wp:cNvGraphicFramePr/>
                  <a:graphic xmlns:a="http://schemas.openxmlformats.org/drawingml/2006/main">
                    <a:graphicData uri="http://schemas.openxmlformats.org/drawingml/2006/picture">
                      <pic:pic xmlns:pic="http://schemas.openxmlformats.org/drawingml/2006/picture">
                        <pic:nvPicPr>
                          <pic:cNvPr id="741" name="图片_2_SpCnt_3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2" name="图片_2_SpCnt_35"/>
                  <wp:cNvGraphicFramePr/>
                  <a:graphic xmlns:a="http://schemas.openxmlformats.org/drawingml/2006/main">
                    <a:graphicData uri="http://schemas.openxmlformats.org/drawingml/2006/picture">
                      <pic:pic xmlns:pic="http://schemas.openxmlformats.org/drawingml/2006/picture">
                        <pic:nvPicPr>
                          <pic:cNvPr id="742" name="图片_2_SpCnt_3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3" name="图片_2_SpCnt_36"/>
                  <wp:cNvGraphicFramePr/>
                  <a:graphic xmlns:a="http://schemas.openxmlformats.org/drawingml/2006/main">
                    <a:graphicData uri="http://schemas.openxmlformats.org/drawingml/2006/picture">
                      <pic:pic xmlns:pic="http://schemas.openxmlformats.org/drawingml/2006/picture">
                        <pic:nvPicPr>
                          <pic:cNvPr id="743" name="图片_2_SpCnt_3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4" name="图片_1_SpCnt_38"/>
                  <wp:cNvGraphicFramePr/>
                  <a:graphic xmlns:a="http://schemas.openxmlformats.org/drawingml/2006/main">
                    <a:graphicData uri="http://schemas.openxmlformats.org/drawingml/2006/picture">
                      <pic:pic xmlns:pic="http://schemas.openxmlformats.org/drawingml/2006/picture">
                        <pic:nvPicPr>
                          <pic:cNvPr id="744" name="图片_1_SpCnt_3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5" name="图片_1_SpCnt_39"/>
                  <wp:cNvGraphicFramePr/>
                  <a:graphic xmlns:a="http://schemas.openxmlformats.org/drawingml/2006/main">
                    <a:graphicData uri="http://schemas.openxmlformats.org/drawingml/2006/picture">
                      <pic:pic xmlns:pic="http://schemas.openxmlformats.org/drawingml/2006/picture">
                        <pic:nvPicPr>
                          <pic:cNvPr id="745" name="图片_1_SpCnt_3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6" name="图片_2_SpCnt_37"/>
                  <wp:cNvGraphicFramePr/>
                  <a:graphic xmlns:a="http://schemas.openxmlformats.org/drawingml/2006/main">
                    <a:graphicData uri="http://schemas.openxmlformats.org/drawingml/2006/picture">
                      <pic:pic xmlns:pic="http://schemas.openxmlformats.org/drawingml/2006/picture">
                        <pic:nvPicPr>
                          <pic:cNvPr id="746" name="图片_2_SpCnt_3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7" name="图片_1_SpCnt_40"/>
                  <wp:cNvGraphicFramePr/>
                  <a:graphic xmlns:a="http://schemas.openxmlformats.org/drawingml/2006/main">
                    <a:graphicData uri="http://schemas.openxmlformats.org/drawingml/2006/picture">
                      <pic:pic xmlns:pic="http://schemas.openxmlformats.org/drawingml/2006/picture">
                        <pic:nvPicPr>
                          <pic:cNvPr id="747" name="图片_1_SpCnt_4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8" name="图片_2_SpCnt_38"/>
                  <wp:cNvGraphicFramePr/>
                  <a:graphic xmlns:a="http://schemas.openxmlformats.org/drawingml/2006/main">
                    <a:graphicData uri="http://schemas.openxmlformats.org/drawingml/2006/picture">
                      <pic:pic xmlns:pic="http://schemas.openxmlformats.org/drawingml/2006/picture">
                        <pic:nvPicPr>
                          <pic:cNvPr id="748" name="图片_2_SpCnt_3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9" name="图片_1_SpCnt_41"/>
                  <wp:cNvGraphicFramePr/>
                  <a:graphic xmlns:a="http://schemas.openxmlformats.org/drawingml/2006/main">
                    <a:graphicData uri="http://schemas.openxmlformats.org/drawingml/2006/picture">
                      <pic:pic xmlns:pic="http://schemas.openxmlformats.org/drawingml/2006/picture">
                        <pic:nvPicPr>
                          <pic:cNvPr id="749" name="图片_1_SpCnt_4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0" name="图片_2_SpCnt_39"/>
                  <wp:cNvGraphicFramePr/>
                  <a:graphic xmlns:a="http://schemas.openxmlformats.org/drawingml/2006/main">
                    <a:graphicData uri="http://schemas.openxmlformats.org/drawingml/2006/picture">
                      <pic:pic xmlns:pic="http://schemas.openxmlformats.org/drawingml/2006/picture">
                        <pic:nvPicPr>
                          <pic:cNvPr id="750" name="图片_2_SpCnt_3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1" name="图片_1_SpCnt_42"/>
                  <wp:cNvGraphicFramePr/>
                  <a:graphic xmlns:a="http://schemas.openxmlformats.org/drawingml/2006/main">
                    <a:graphicData uri="http://schemas.openxmlformats.org/drawingml/2006/picture">
                      <pic:pic xmlns:pic="http://schemas.openxmlformats.org/drawingml/2006/picture">
                        <pic:nvPicPr>
                          <pic:cNvPr id="751" name="图片_1_SpCnt_4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2" name="图片_2_SpCnt_40"/>
                  <wp:cNvGraphicFramePr/>
                  <a:graphic xmlns:a="http://schemas.openxmlformats.org/drawingml/2006/main">
                    <a:graphicData uri="http://schemas.openxmlformats.org/drawingml/2006/picture">
                      <pic:pic xmlns:pic="http://schemas.openxmlformats.org/drawingml/2006/picture">
                        <pic:nvPicPr>
                          <pic:cNvPr id="752" name="图片_2_SpCnt_4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3" name="图片_1_SpCnt_43"/>
                  <wp:cNvGraphicFramePr/>
                  <a:graphic xmlns:a="http://schemas.openxmlformats.org/drawingml/2006/main">
                    <a:graphicData uri="http://schemas.openxmlformats.org/drawingml/2006/picture">
                      <pic:pic xmlns:pic="http://schemas.openxmlformats.org/drawingml/2006/picture">
                        <pic:nvPicPr>
                          <pic:cNvPr id="753" name="图片_1_SpCnt_4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4" name="图片_2_SpCnt_41"/>
                  <wp:cNvGraphicFramePr/>
                  <a:graphic xmlns:a="http://schemas.openxmlformats.org/drawingml/2006/main">
                    <a:graphicData uri="http://schemas.openxmlformats.org/drawingml/2006/picture">
                      <pic:pic xmlns:pic="http://schemas.openxmlformats.org/drawingml/2006/picture">
                        <pic:nvPicPr>
                          <pic:cNvPr id="754" name="图片_2_SpCnt_4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5" name="图片_1_SpCnt_44"/>
                  <wp:cNvGraphicFramePr/>
                  <a:graphic xmlns:a="http://schemas.openxmlformats.org/drawingml/2006/main">
                    <a:graphicData uri="http://schemas.openxmlformats.org/drawingml/2006/picture">
                      <pic:pic xmlns:pic="http://schemas.openxmlformats.org/drawingml/2006/picture">
                        <pic:nvPicPr>
                          <pic:cNvPr id="755" name="图片_1_SpCnt_4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6" name="图片_2_SpCnt_42"/>
                  <wp:cNvGraphicFramePr/>
                  <a:graphic xmlns:a="http://schemas.openxmlformats.org/drawingml/2006/main">
                    <a:graphicData uri="http://schemas.openxmlformats.org/drawingml/2006/picture">
                      <pic:pic xmlns:pic="http://schemas.openxmlformats.org/drawingml/2006/picture">
                        <pic:nvPicPr>
                          <pic:cNvPr id="756" name="图片_2_SpCnt_4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7" name="图片_1_SpCnt_45"/>
                  <wp:cNvGraphicFramePr/>
                  <a:graphic xmlns:a="http://schemas.openxmlformats.org/drawingml/2006/main">
                    <a:graphicData uri="http://schemas.openxmlformats.org/drawingml/2006/picture">
                      <pic:pic xmlns:pic="http://schemas.openxmlformats.org/drawingml/2006/picture">
                        <pic:nvPicPr>
                          <pic:cNvPr id="757" name="图片_1_SpCnt_4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58" name="图片_2_SpCnt_43"/>
                  <wp:cNvGraphicFramePr/>
                  <a:graphic xmlns:a="http://schemas.openxmlformats.org/drawingml/2006/main">
                    <a:graphicData uri="http://schemas.openxmlformats.org/drawingml/2006/picture">
                      <pic:pic xmlns:pic="http://schemas.openxmlformats.org/drawingml/2006/picture">
                        <pic:nvPicPr>
                          <pic:cNvPr id="758" name="图片_2_SpCnt_43"/>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59" name="图片_1_SpCnt_46"/>
                  <wp:cNvGraphicFramePr/>
                  <a:graphic xmlns:a="http://schemas.openxmlformats.org/drawingml/2006/main">
                    <a:graphicData uri="http://schemas.openxmlformats.org/drawingml/2006/picture">
                      <pic:pic xmlns:pic="http://schemas.openxmlformats.org/drawingml/2006/picture">
                        <pic:nvPicPr>
                          <pic:cNvPr id="759" name="图片_1_SpCnt_46"/>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0" name="图片_2_SpCnt_44"/>
                  <wp:cNvGraphicFramePr/>
                  <a:graphic xmlns:a="http://schemas.openxmlformats.org/drawingml/2006/main">
                    <a:graphicData uri="http://schemas.openxmlformats.org/drawingml/2006/picture">
                      <pic:pic xmlns:pic="http://schemas.openxmlformats.org/drawingml/2006/picture">
                        <pic:nvPicPr>
                          <pic:cNvPr id="760" name="图片_2_SpCnt_44"/>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1" name="图片_1_SpCnt_47"/>
                  <wp:cNvGraphicFramePr/>
                  <a:graphic xmlns:a="http://schemas.openxmlformats.org/drawingml/2006/main">
                    <a:graphicData uri="http://schemas.openxmlformats.org/drawingml/2006/picture">
                      <pic:pic xmlns:pic="http://schemas.openxmlformats.org/drawingml/2006/picture">
                        <pic:nvPicPr>
                          <pic:cNvPr id="761" name="图片_1_SpCnt_47"/>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2" name="图片_14_SpCnt_2"/>
                  <wp:cNvGraphicFramePr/>
                  <a:graphic xmlns:a="http://schemas.openxmlformats.org/drawingml/2006/main">
                    <a:graphicData uri="http://schemas.openxmlformats.org/drawingml/2006/picture">
                      <pic:pic xmlns:pic="http://schemas.openxmlformats.org/drawingml/2006/picture">
                        <pic:nvPicPr>
                          <pic:cNvPr id="762" name="图片_14_SpCnt_2"/>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3" name="图片_13_SpCnt_2"/>
                  <wp:cNvGraphicFramePr/>
                  <a:graphic xmlns:a="http://schemas.openxmlformats.org/drawingml/2006/main">
                    <a:graphicData uri="http://schemas.openxmlformats.org/drawingml/2006/picture">
                      <pic:pic xmlns:pic="http://schemas.openxmlformats.org/drawingml/2006/picture">
                        <pic:nvPicPr>
                          <pic:cNvPr id="763" name="图片_13_SpCnt_2"/>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4" name="图片_2_SpCnt_45"/>
                  <wp:cNvGraphicFramePr/>
                  <a:graphic xmlns:a="http://schemas.openxmlformats.org/drawingml/2006/main">
                    <a:graphicData uri="http://schemas.openxmlformats.org/drawingml/2006/picture">
                      <pic:pic xmlns:pic="http://schemas.openxmlformats.org/drawingml/2006/picture">
                        <pic:nvPicPr>
                          <pic:cNvPr id="764" name="图片_2_SpCnt_45"/>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5" name="图片_1_SpCnt_48"/>
                  <wp:cNvGraphicFramePr/>
                  <a:graphic xmlns:a="http://schemas.openxmlformats.org/drawingml/2006/main">
                    <a:graphicData uri="http://schemas.openxmlformats.org/drawingml/2006/picture">
                      <pic:pic xmlns:pic="http://schemas.openxmlformats.org/drawingml/2006/picture">
                        <pic:nvPicPr>
                          <pic:cNvPr id="765" name="图片_1_SpCnt_48"/>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6" name="图片_10_SpCnt_5"/>
                  <wp:cNvGraphicFramePr/>
                  <a:graphic xmlns:a="http://schemas.openxmlformats.org/drawingml/2006/main">
                    <a:graphicData uri="http://schemas.openxmlformats.org/drawingml/2006/picture">
                      <pic:pic xmlns:pic="http://schemas.openxmlformats.org/drawingml/2006/picture">
                        <pic:nvPicPr>
                          <pic:cNvPr id="766" name="图片_10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7" name="图片_9_SpCnt_5"/>
                  <wp:cNvGraphicFramePr/>
                  <a:graphic xmlns:a="http://schemas.openxmlformats.org/drawingml/2006/main">
                    <a:graphicData uri="http://schemas.openxmlformats.org/drawingml/2006/picture">
                      <pic:pic xmlns:pic="http://schemas.openxmlformats.org/drawingml/2006/picture">
                        <pic:nvPicPr>
                          <pic:cNvPr id="767" name="图片_9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68" name="图片_2_SpCnt_46"/>
                  <wp:cNvGraphicFramePr/>
                  <a:graphic xmlns:a="http://schemas.openxmlformats.org/drawingml/2006/main">
                    <a:graphicData uri="http://schemas.openxmlformats.org/drawingml/2006/picture">
                      <pic:pic xmlns:pic="http://schemas.openxmlformats.org/drawingml/2006/picture">
                        <pic:nvPicPr>
                          <pic:cNvPr id="768" name="图片_2_SpCnt_46"/>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69" name="图片_1_SpCnt_49"/>
                  <wp:cNvGraphicFramePr/>
                  <a:graphic xmlns:a="http://schemas.openxmlformats.org/drawingml/2006/main">
                    <a:graphicData uri="http://schemas.openxmlformats.org/drawingml/2006/picture">
                      <pic:pic xmlns:pic="http://schemas.openxmlformats.org/drawingml/2006/picture">
                        <pic:nvPicPr>
                          <pic:cNvPr id="769" name="图片_1_SpCnt_49"/>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70" name="图片_6_SpCnt_5"/>
                  <wp:cNvGraphicFramePr/>
                  <a:graphic xmlns:a="http://schemas.openxmlformats.org/drawingml/2006/main">
                    <a:graphicData uri="http://schemas.openxmlformats.org/drawingml/2006/picture">
                      <pic:pic xmlns:pic="http://schemas.openxmlformats.org/drawingml/2006/picture">
                        <pic:nvPicPr>
                          <pic:cNvPr id="770" name="图片_6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71" name="图片_5_SpCnt_5"/>
                  <wp:cNvGraphicFramePr/>
                  <a:graphic xmlns:a="http://schemas.openxmlformats.org/drawingml/2006/main">
                    <a:graphicData uri="http://schemas.openxmlformats.org/drawingml/2006/picture">
                      <pic:pic xmlns:pic="http://schemas.openxmlformats.org/drawingml/2006/picture">
                        <pic:nvPicPr>
                          <pic:cNvPr id="771" name="图片_5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2" name="图片_2_SpCnt_47"/>
                  <wp:cNvGraphicFramePr/>
                  <a:graphic xmlns:a="http://schemas.openxmlformats.org/drawingml/2006/main">
                    <a:graphicData uri="http://schemas.openxmlformats.org/drawingml/2006/picture">
                      <pic:pic xmlns:pic="http://schemas.openxmlformats.org/drawingml/2006/picture">
                        <pic:nvPicPr>
                          <pic:cNvPr id="772" name="图片_2_SpCnt_4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3" name="图片_1_SpCnt_50"/>
                  <wp:cNvGraphicFramePr/>
                  <a:graphic xmlns:a="http://schemas.openxmlformats.org/drawingml/2006/main">
                    <a:graphicData uri="http://schemas.openxmlformats.org/drawingml/2006/picture">
                      <pic:pic xmlns:pic="http://schemas.openxmlformats.org/drawingml/2006/picture">
                        <pic:nvPicPr>
                          <pic:cNvPr id="773" name="图片_1_SpCnt_5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74" name="图片_2_SpCnt_48"/>
                  <wp:cNvGraphicFramePr/>
                  <a:graphic xmlns:a="http://schemas.openxmlformats.org/drawingml/2006/main">
                    <a:graphicData uri="http://schemas.openxmlformats.org/drawingml/2006/picture">
                      <pic:pic xmlns:pic="http://schemas.openxmlformats.org/drawingml/2006/picture">
                        <pic:nvPicPr>
                          <pic:cNvPr id="774" name="图片_2_SpCnt_48"/>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75" name="图片_1_SpCnt_51"/>
                  <wp:cNvGraphicFramePr/>
                  <a:graphic xmlns:a="http://schemas.openxmlformats.org/drawingml/2006/main">
                    <a:graphicData uri="http://schemas.openxmlformats.org/drawingml/2006/picture">
                      <pic:pic xmlns:pic="http://schemas.openxmlformats.org/drawingml/2006/picture">
                        <pic:nvPicPr>
                          <pic:cNvPr id="775" name="图片_1_SpCnt_5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6" name="图片_2_SpCnt_49"/>
                  <wp:cNvGraphicFramePr/>
                  <a:graphic xmlns:a="http://schemas.openxmlformats.org/drawingml/2006/main">
                    <a:graphicData uri="http://schemas.openxmlformats.org/drawingml/2006/picture">
                      <pic:pic xmlns:pic="http://schemas.openxmlformats.org/drawingml/2006/picture">
                        <pic:nvPicPr>
                          <pic:cNvPr id="776" name="图片_2_SpCnt_4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7" name="图片_1_SpCnt_52"/>
                  <wp:cNvGraphicFramePr/>
                  <a:graphic xmlns:a="http://schemas.openxmlformats.org/drawingml/2006/main">
                    <a:graphicData uri="http://schemas.openxmlformats.org/drawingml/2006/picture">
                      <pic:pic xmlns:pic="http://schemas.openxmlformats.org/drawingml/2006/picture">
                        <pic:nvPicPr>
                          <pic:cNvPr id="777" name="图片_1_SpCnt_5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8" name="图片_2_SpCnt_50"/>
                  <wp:cNvGraphicFramePr/>
                  <a:graphic xmlns:a="http://schemas.openxmlformats.org/drawingml/2006/main">
                    <a:graphicData uri="http://schemas.openxmlformats.org/drawingml/2006/picture">
                      <pic:pic xmlns:pic="http://schemas.openxmlformats.org/drawingml/2006/picture">
                        <pic:nvPicPr>
                          <pic:cNvPr id="778" name="图片_2_SpCnt_5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9" name="图片_1_SpCnt_53"/>
                  <wp:cNvGraphicFramePr/>
                  <a:graphic xmlns:a="http://schemas.openxmlformats.org/drawingml/2006/main">
                    <a:graphicData uri="http://schemas.openxmlformats.org/drawingml/2006/picture">
                      <pic:pic xmlns:pic="http://schemas.openxmlformats.org/drawingml/2006/picture">
                        <pic:nvPicPr>
                          <pic:cNvPr id="779" name="图片_1_SpCnt_5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0" name="图片_2_SpCnt_51"/>
                  <wp:cNvGraphicFramePr/>
                  <a:graphic xmlns:a="http://schemas.openxmlformats.org/drawingml/2006/main">
                    <a:graphicData uri="http://schemas.openxmlformats.org/drawingml/2006/picture">
                      <pic:pic xmlns:pic="http://schemas.openxmlformats.org/drawingml/2006/picture">
                        <pic:nvPicPr>
                          <pic:cNvPr id="780" name="图片_2_SpCnt_5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1" name="图片_1_SpCnt_54"/>
                  <wp:cNvGraphicFramePr/>
                  <a:graphic xmlns:a="http://schemas.openxmlformats.org/drawingml/2006/main">
                    <a:graphicData uri="http://schemas.openxmlformats.org/drawingml/2006/picture">
                      <pic:pic xmlns:pic="http://schemas.openxmlformats.org/drawingml/2006/picture">
                        <pic:nvPicPr>
                          <pic:cNvPr id="781" name="图片_1_SpCnt_5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2" name="图片_2_SpCnt_52"/>
                  <wp:cNvGraphicFramePr/>
                  <a:graphic xmlns:a="http://schemas.openxmlformats.org/drawingml/2006/main">
                    <a:graphicData uri="http://schemas.openxmlformats.org/drawingml/2006/picture">
                      <pic:pic xmlns:pic="http://schemas.openxmlformats.org/drawingml/2006/picture">
                        <pic:nvPicPr>
                          <pic:cNvPr id="782" name="图片_2_SpCnt_5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3" name="图片_1_SpCnt_55"/>
                  <wp:cNvGraphicFramePr/>
                  <a:graphic xmlns:a="http://schemas.openxmlformats.org/drawingml/2006/main">
                    <a:graphicData uri="http://schemas.openxmlformats.org/drawingml/2006/picture">
                      <pic:pic xmlns:pic="http://schemas.openxmlformats.org/drawingml/2006/picture">
                        <pic:nvPicPr>
                          <pic:cNvPr id="783" name="图片_1_SpCnt_5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4" name="图片_2_SpCnt_53"/>
                  <wp:cNvGraphicFramePr/>
                  <a:graphic xmlns:a="http://schemas.openxmlformats.org/drawingml/2006/main">
                    <a:graphicData uri="http://schemas.openxmlformats.org/drawingml/2006/picture">
                      <pic:pic xmlns:pic="http://schemas.openxmlformats.org/drawingml/2006/picture">
                        <pic:nvPicPr>
                          <pic:cNvPr id="784" name="图片_2_SpCnt_5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5" name="图片_1_SpCnt_56"/>
                  <wp:cNvGraphicFramePr/>
                  <a:graphic xmlns:a="http://schemas.openxmlformats.org/drawingml/2006/main">
                    <a:graphicData uri="http://schemas.openxmlformats.org/drawingml/2006/picture">
                      <pic:pic xmlns:pic="http://schemas.openxmlformats.org/drawingml/2006/picture">
                        <pic:nvPicPr>
                          <pic:cNvPr id="785" name="图片_1_SpCnt_5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86" name="图片_2_SpCnt_54"/>
                  <wp:cNvGraphicFramePr/>
                  <a:graphic xmlns:a="http://schemas.openxmlformats.org/drawingml/2006/main">
                    <a:graphicData uri="http://schemas.openxmlformats.org/drawingml/2006/picture">
                      <pic:pic xmlns:pic="http://schemas.openxmlformats.org/drawingml/2006/picture">
                        <pic:nvPicPr>
                          <pic:cNvPr id="786" name="图片_2_SpCnt_5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87" name="图片_1_SpCnt_57"/>
                  <wp:cNvGraphicFramePr/>
                  <a:graphic xmlns:a="http://schemas.openxmlformats.org/drawingml/2006/main">
                    <a:graphicData uri="http://schemas.openxmlformats.org/drawingml/2006/picture">
                      <pic:pic xmlns:pic="http://schemas.openxmlformats.org/drawingml/2006/picture">
                        <pic:nvPicPr>
                          <pic:cNvPr id="787" name="图片_1_SpCnt_57"/>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8" name="图片_2_SpCnt_55"/>
                  <wp:cNvGraphicFramePr/>
                  <a:graphic xmlns:a="http://schemas.openxmlformats.org/drawingml/2006/main">
                    <a:graphicData uri="http://schemas.openxmlformats.org/drawingml/2006/picture">
                      <pic:pic xmlns:pic="http://schemas.openxmlformats.org/drawingml/2006/picture">
                        <pic:nvPicPr>
                          <pic:cNvPr id="788" name="图片_2_SpCnt_5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9" name="图片_1_SpCnt_58"/>
                  <wp:cNvGraphicFramePr/>
                  <a:graphic xmlns:a="http://schemas.openxmlformats.org/drawingml/2006/main">
                    <a:graphicData uri="http://schemas.openxmlformats.org/drawingml/2006/picture">
                      <pic:pic xmlns:pic="http://schemas.openxmlformats.org/drawingml/2006/picture">
                        <pic:nvPicPr>
                          <pic:cNvPr id="789" name="图片_1_SpCnt_5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0" name="图片_2_SpCnt_56"/>
                  <wp:cNvGraphicFramePr/>
                  <a:graphic xmlns:a="http://schemas.openxmlformats.org/drawingml/2006/main">
                    <a:graphicData uri="http://schemas.openxmlformats.org/drawingml/2006/picture">
                      <pic:pic xmlns:pic="http://schemas.openxmlformats.org/drawingml/2006/picture">
                        <pic:nvPicPr>
                          <pic:cNvPr id="790" name="图片_2_SpCnt_5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1" name="图片_1_SpCnt_59"/>
                  <wp:cNvGraphicFramePr/>
                  <a:graphic xmlns:a="http://schemas.openxmlformats.org/drawingml/2006/main">
                    <a:graphicData uri="http://schemas.openxmlformats.org/drawingml/2006/picture">
                      <pic:pic xmlns:pic="http://schemas.openxmlformats.org/drawingml/2006/picture">
                        <pic:nvPicPr>
                          <pic:cNvPr id="791" name="图片_1_SpCnt_5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2" name="图片_2_SpCnt_57"/>
                  <wp:cNvGraphicFramePr/>
                  <a:graphic xmlns:a="http://schemas.openxmlformats.org/drawingml/2006/main">
                    <a:graphicData uri="http://schemas.openxmlformats.org/drawingml/2006/picture">
                      <pic:pic xmlns:pic="http://schemas.openxmlformats.org/drawingml/2006/picture">
                        <pic:nvPicPr>
                          <pic:cNvPr id="792" name="图片_2_SpCnt_5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3" name="图片_1_SpCnt_60"/>
                  <wp:cNvGraphicFramePr/>
                  <a:graphic xmlns:a="http://schemas.openxmlformats.org/drawingml/2006/main">
                    <a:graphicData uri="http://schemas.openxmlformats.org/drawingml/2006/picture">
                      <pic:pic xmlns:pic="http://schemas.openxmlformats.org/drawingml/2006/picture">
                        <pic:nvPicPr>
                          <pic:cNvPr id="793" name="图片_1_SpCnt_6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4" name="图片_2_SpCnt_58"/>
                  <wp:cNvGraphicFramePr/>
                  <a:graphic xmlns:a="http://schemas.openxmlformats.org/drawingml/2006/main">
                    <a:graphicData uri="http://schemas.openxmlformats.org/drawingml/2006/picture">
                      <pic:pic xmlns:pic="http://schemas.openxmlformats.org/drawingml/2006/picture">
                        <pic:nvPicPr>
                          <pic:cNvPr id="794" name="图片_2_SpCnt_5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5" name="图片_1_SpCnt_61"/>
                  <wp:cNvGraphicFramePr/>
                  <a:graphic xmlns:a="http://schemas.openxmlformats.org/drawingml/2006/main">
                    <a:graphicData uri="http://schemas.openxmlformats.org/drawingml/2006/picture">
                      <pic:pic xmlns:pic="http://schemas.openxmlformats.org/drawingml/2006/picture">
                        <pic:nvPicPr>
                          <pic:cNvPr id="795" name="图片_1_SpCnt_6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96" name="图片_2_SpCnt_59"/>
                  <wp:cNvGraphicFramePr/>
                  <a:graphic xmlns:a="http://schemas.openxmlformats.org/drawingml/2006/main">
                    <a:graphicData uri="http://schemas.openxmlformats.org/drawingml/2006/picture">
                      <pic:pic xmlns:pic="http://schemas.openxmlformats.org/drawingml/2006/picture">
                        <pic:nvPicPr>
                          <pic:cNvPr id="796" name="图片_2_SpCnt_59"/>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97" name="图片_1_SpCnt_62"/>
                  <wp:cNvGraphicFramePr/>
                  <a:graphic xmlns:a="http://schemas.openxmlformats.org/drawingml/2006/main">
                    <a:graphicData uri="http://schemas.openxmlformats.org/drawingml/2006/picture">
                      <pic:pic xmlns:pic="http://schemas.openxmlformats.org/drawingml/2006/picture">
                        <pic:nvPicPr>
                          <pic:cNvPr id="797" name="图片_1_SpCnt_6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8" name="图片_2_SpCnt_60"/>
                  <wp:cNvGraphicFramePr/>
                  <a:graphic xmlns:a="http://schemas.openxmlformats.org/drawingml/2006/main">
                    <a:graphicData uri="http://schemas.openxmlformats.org/drawingml/2006/picture">
                      <pic:pic xmlns:pic="http://schemas.openxmlformats.org/drawingml/2006/picture">
                        <pic:nvPicPr>
                          <pic:cNvPr id="798" name="图片_2_SpCnt_6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9" name="图片_1_SpCnt_63"/>
                  <wp:cNvGraphicFramePr/>
                  <a:graphic xmlns:a="http://schemas.openxmlformats.org/drawingml/2006/main">
                    <a:graphicData uri="http://schemas.openxmlformats.org/drawingml/2006/picture">
                      <pic:pic xmlns:pic="http://schemas.openxmlformats.org/drawingml/2006/picture">
                        <pic:nvPicPr>
                          <pic:cNvPr id="799" name="图片_1_SpCnt_6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0" name="图片_2_SpCnt_61"/>
                  <wp:cNvGraphicFramePr/>
                  <a:graphic xmlns:a="http://schemas.openxmlformats.org/drawingml/2006/main">
                    <a:graphicData uri="http://schemas.openxmlformats.org/drawingml/2006/picture">
                      <pic:pic xmlns:pic="http://schemas.openxmlformats.org/drawingml/2006/picture">
                        <pic:nvPicPr>
                          <pic:cNvPr id="800" name="图片_2_SpCnt_6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01" name="图片_2_SpCnt_62"/>
                  <wp:cNvGraphicFramePr/>
                  <a:graphic xmlns:a="http://schemas.openxmlformats.org/drawingml/2006/main">
                    <a:graphicData uri="http://schemas.openxmlformats.org/drawingml/2006/picture">
                      <pic:pic xmlns:pic="http://schemas.openxmlformats.org/drawingml/2006/picture">
                        <pic:nvPicPr>
                          <pic:cNvPr id="801" name="图片_2_SpCnt_6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2" name="图片_1_SpCnt_64"/>
                  <wp:cNvGraphicFramePr/>
                  <a:graphic xmlns:a="http://schemas.openxmlformats.org/drawingml/2006/main">
                    <a:graphicData uri="http://schemas.openxmlformats.org/drawingml/2006/picture">
                      <pic:pic xmlns:pic="http://schemas.openxmlformats.org/drawingml/2006/picture">
                        <pic:nvPicPr>
                          <pic:cNvPr id="802" name="图片_1_SpCnt_6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3" name="图片_1_SpCnt_65"/>
                  <wp:cNvGraphicFramePr/>
                  <a:graphic xmlns:a="http://schemas.openxmlformats.org/drawingml/2006/main">
                    <a:graphicData uri="http://schemas.openxmlformats.org/drawingml/2006/picture">
                      <pic:pic xmlns:pic="http://schemas.openxmlformats.org/drawingml/2006/picture">
                        <pic:nvPicPr>
                          <pic:cNvPr id="803" name="图片_1_SpCnt_6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4" name="图片_2_SpCnt_63"/>
                  <wp:cNvGraphicFramePr/>
                  <a:graphic xmlns:a="http://schemas.openxmlformats.org/drawingml/2006/main">
                    <a:graphicData uri="http://schemas.openxmlformats.org/drawingml/2006/picture">
                      <pic:pic xmlns:pic="http://schemas.openxmlformats.org/drawingml/2006/picture">
                        <pic:nvPicPr>
                          <pic:cNvPr id="804" name="图片_2_SpCnt_6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5" name="图片_2_SpCnt_64"/>
                  <wp:cNvGraphicFramePr/>
                  <a:graphic xmlns:a="http://schemas.openxmlformats.org/drawingml/2006/main">
                    <a:graphicData uri="http://schemas.openxmlformats.org/drawingml/2006/picture">
                      <pic:pic xmlns:pic="http://schemas.openxmlformats.org/drawingml/2006/picture">
                        <pic:nvPicPr>
                          <pic:cNvPr id="805" name="图片_2_SpCnt_6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6" name="图片_2_SpCnt_65"/>
                  <wp:cNvGraphicFramePr/>
                  <a:graphic xmlns:a="http://schemas.openxmlformats.org/drawingml/2006/main">
                    <a:graphicData uri="http://schemas.openxmlformats.org/drawingml/2006/picture">
                      <pic:pic xmlns:pic="http://schemas.openxmlformats.org/drawingml/2006/picture">
                        <pic:nvPicPr>
                          <pic:cNvPr id="806" name="图片_2_SpCnt_6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7" name="图片_1_SpCnt_66"/>
                  <wp:cNvGraphicFramePr/>
                  <a:graphic xmlns:a="http://schemas.openxmlformats.org/drawingml/2006/main">
                    <a:graphicData uri="http://schemas.openxmlformats.org/drawingml/2006/picture">
                      <pic:pic xmlns:pic="http://schemas.openxmlformats.org/drawingml/2006/picture">
                        <pic:nvPicPr>
                          <pic:cNvPr id="807" name="图片_1_SpCnt_6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8" name="图片_1_SpCnt_67"/>
                  <wp:cNvGraphicFramePr/>
                  <a:graphic xmlns:a="http://schemas.openxmlformats.org/drawingml/2006/main">
                    <a:graphicData uri="http://schemas.openxmlformats.org/drawingml/2006/picture">
                      <pic:pic xmlns:pic="http://schemas.openxmlformats.org/drawingml/2006/picture">
                        <pic:nvPicPr>
                          <pic:cNvPr id="808" name="图片_1_SpCnt_6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9" name="图片_2_SpCnt_66"/>
                  <wp:cNvGraphicFramePr/>
                  <a:graphic xmlns:a="http://schemas.openxmlformats.org/drawingml/2006/main">
                    <a:graphicData uri="http://schemas.openxmlformats.org/drawingml/2006/picture">
                      <pic:pic xmlns:pic="http://schemas.openxmlformats.org/drawingml/2006/picture">
                        <pic:nvPicPr>
                          <pic:cNvPr id="809" name="图片_2_SpCnt_6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0" name="图片_1_SpCnt_68"/>
                  <wp:cNvGraphicFramePr/>
                  <a:graphic xmlns:a="http://schemas.openxmlformats.org/drawingml/2006/main">
                    <a:graphicData uri="http://schemas.openxmlformats.org/drawingml/2006/picture">
                      <pic:pic xmlns:pic="http://schemas.openxmlformats.org/drawingml/2006/picture">
                        <pic:nvPicPr>
                          <pic:cNvPr id="810" name="图片_1_SpCnt_6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1" name="图片_2_SpCnt_67"/>
                  <wp:cNvGraphicFramePr/>
                  <a:graphic xmlns:a="http://schemas.openxmlformats.org/drawingml/2006/main">
                    <a:graphicData uri="http://schemas.openxmlformats.org/drawingml/2006/picture">
                      <pic:pic xmlns:pic="http://schemas.openxmlformats.org/drawingml/2006/picture">
                        <pic:nvPicPr>
                          <pic:cNvPr id="811" name="图片_2_SpCnt_6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2" name="图片_1_SpCnt_69"/>
                  <wp:cNvGraphicFramePr/>
                  <a:graphic xmlns:a="http://schemas.openxmlformats.org/drawingml/2006/main">
                    <a:graphicData uri="http://schemas.openxmlformats.org/drawingml/2006/picture">
                      <pic:pic xmlns:pic="http://schemas.openxmlformats.org/drawingml/2006/picture">
                        <pic:nvPicPr>
                          <pic:cNvPr id="812" name="图片_1_SpCnt_6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3" name="图片_2_SpCnt_68"/>
                  <wp:cNvGraphicFramePr/>
                  <a:graphic xmlns:a="http://schemas.openxmlformats.org/drawingml/2006/main">
                    <a:graphicData uri="http://schemas.openxmlformats.org/drawingml/2006/picture">
                      <pic:pic xmlns:pic="http://schemas.openxmlformats.org/drawingml/2006/picture">
                        <pic:nvPicPr>
                          <pic:cNvPr id="813" name="图片_2_SpCnt_6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4" name="图片_1_SpCnt_70"/>
                  <wp:cNvGraphicFramePr/>
                  <a:graphic xmlns:a="http://schemas.openxmlformats.org/drawingml/2006/main">
                    <a:graphicData uri="http://schemas.openxmlformats.org/drawingml/2006/picture">
                      <pic:pic xmlns:pic="http://schemas.openxmlformats.org/drawingml/2006/picture">
                        <pic:nvPicPr>
                          <pic:cNvPr id="814" name="图片_1_SpCnt_7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5" name="图片_2_SpCnt_69"/>
                  <wp:cNvGraphicFramePr/>
                  <a:graphic xmlns:a="http://schemas.openxmlformats.org/drawingml/2006/main">
                    <a:graphicData uri="http://schemas.openxmlformats.org/drawingml/2006/picture">
                      <pic:pic xmlns:pic="http://schemas.openxmlformats.org/drawingml/2006/picture">
                        <pic:nvPicPr>
                          <pic:cNvPr id="815" name="图片_2_SpCnt_6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6" name="图片_1_SpCnt_71"/>
                  <wp:cNvGraphicFramePr/>
                  <a:graphic xmlns:a="http://schemas.openxmlformats.org/drawingml/2006/main">
                    <a:graphicData uri="http://schemas.openxmlformats.org/drawingml/2006/picture">
                      <pic:pic xmlns:pic="http://schemas.openxmlformats.org/drawingml/2006/picture">
                        <pic:nvPicPr>
                          <pic:cNvPr id="816" name="图片_1_SpCnt_7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17" name="图片_2_SpCnt_70"/>
                  <wp:cNvGraphicFramePr/>
                  <a:graphic xmlns:a="http://schemas.openxmlformats.org/drawingml/2006/main">
                    <a:graphicData uri="http://schemas.openxmlformats.org/drawingml/2006/picture">
                      <pic:pic xmlns:pic="http://schemas.openxmlformats.org/drawingml/2006/picture">
                        <pic:nvPicPr>
                          <pic:cNvPr id="817" name="图片_2_SpCnt_70"/>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18" name="图片_1_SpCnt_72"/>
                  <wp:cNvGraphicFramePr/>
                  <a:graphic xmlns:a="http://schemas.openxmlformats.org/drawingml/2006/main">
                    <a:graphicData uri="http://schemas.openxmlformats.org/drawingml/2006/picture">
                      <pic:pic xmlns:pic="http://schemas.openxmlformats.org/drawingml/2006/picture">
                        <pic:nvPicPr>
                          <pic:cNvPr id="818" name="图片_1_SpCnt_7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19" name="图片_2_SpCnt_71"/>
                  <wp:cNvGraphicFramePr/>
                  <a:graphic xmlns:a="http://schemas.openxmlformats.org/drawingml/2006/main">
                    <a:graphicData uri="http://schemas.openxmlformats.org/drawingml/2006/picture">
                      <pic:pic xmlns:pic="http://schemas.openxmlformats.org/drawingml/2006/picture">
                        <pic:nvPicPr>
                          <pic:cNvPr id="819" name="图片_2_SpCnt_71"/>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0" name="图片_1_SpCnt_73"/>
                  <wp:cNvGraphicFramePr/>
                  <a:graphic xmlns:a="http://schemas.openxmlformats.org/drawingml/2006/main">
                    <a:graphicData uri="http://schemas.openxmlformats.org/drawingml/2006/picture">
                      <pic:pic xmlns:pic="http://schemas.openxmlformats.org/drawingml/2006/picture">
                        <pic:nvPicPr>
                          <pic:cNvPr id="820" name="图片_1_SpCnt_73"/>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1" name="图片_2_SpCnt_72"/>
                  <wp:cNvGraphicFramePr/>
                  <a:graphic xmlns:a="http://schemas.openxmlformats.org/drawingml/2006/main">
                    <a:graphicData uri="http://schemas.openxmlformats.org/drawingml/2006/picture">
                      <pic:pic xmlns:pic="http://schemas.openxmlformats.org/drawingml/2006/picture">
                        <pic:nvPicPr>
                          <pic:cNvPr id="821" name="图片_2_SpCnt_72"/>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2" name="图片_1_SpCnt_74"/>
                  <wp:cNvGraphicFramePr/>
                  <a:graphic xmlns:a="http://schemas.openxmlformats.org/drawingml/2006/main">
                    <a:graphicData uri="http://schemas.openxmlformats.org/drawingml/2006/picture">
                      <pic:pic xmlns:pic="http://schemas.openxmlformats.org/drawingml/2006/picture">
                        <pic:nvPicPr>
                          <pic:cNvPr id="822" name="图片_1_SpCnt_7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3" name="图片_2_SpCnt_73"/>
                  <wp:cNvGraphicFramePr/>
                  <a:graphic xmlns:a="http://schemas.openxmlformats.org/drawingml/2006/main">
                    <a:graphicData uri="http://schemas.openxmlformats.org/drawingml/2006/picture">
                      <pic:pic xmlns:pic="http://schemas.openxmlformats.org/drawingml/2006/picture">
                        <pic:nvPicPr>
                          <pic:cNvPr id="823" name="图片_2_SpCnt_73"/>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4" name="图片_1_SpCnt_75"/>
                  <wp:cNvGraphicFramePr/>
                  <a:graphic xmlns:a="http://schemas.openxmlformats.org/drawingml/2006/main">
                    <a:graphicData uri="http://schemas.openxmlformats.org/drawingml/2006/picture">
                      <pic:pic xmlns:pic="http://schemas.openxmlformats.org/drawingml/2006/picture">
                        <pic:nvPicPr>
                          <pic:cNvPr id="824" name="图片_1_SpCnt_75"/>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5" name="图片_2_SpCnt_74"/>
                  <wp:cNvGraphicFramePr/>
                  <a:graphic xmlns:a="http://schemas.openxmlformats.org/drawingml/2006/main">
                    <a:graphicData uri="http://schemas.openxmlformats.org/drawingml/2006/picture">
                      <pic:pic xmlns:pic="http://schemas.openxmlformats.org/drawingml/2006/picture">
                        <pic:nvPicPr>
                          <pic:cNvPr id="825" name="图片_2_SpCnt_7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6" name="图片_1_SpCnt_76"/>
                  <wp:cNvGraphicFramePr/>
                  <a:graphic xmlns:a="http://schemas.openxmlformats.org/drawingml/2006/main">
                    <a:graphicData uri="http://schemas.openxmlformats.org/drawingml/2006/picture">
                      <pic:pic xmlns:pic="http://schemas.openxmlformats.org/drawingml/2006/picture">
                        <pic:nvPicPr>
                          <pic:cNvPr id="826" name="图片_1_SpCnt_76"/>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27" name="图片_2_SpCnt_75"/>
                  <wp:cNvGraphicFramePr/>
                  <a:graphic xmlns:a="http://schemas.openxmlformats.org/drawingml/2006/main">
                    <a:graphicData uri="http://schemas.openxmlformats.org/drawingml/2006/picture">
                      <pic:pic xmlns:pic="http://schemas.openxmlformats.org/drawingml/2006/picture">
                        <pic:nvPicPr>
                          <pic:cNvPr id="827" name="图片_2_SpCnt_7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28" name="图片_1_SpCnt_77"/>
                  <wp:cNvGraphicFramePr/>
                  <a:graphic xmlns:a="http://schemas.openxmlformats.org/drawingml/2006/main">
                    <a:graphicData uri="http://schemas.openxmlformats.org/drawingml/2006/picture">
                      <pic:pic xmlns:pic="http://schemas.openxmlformats.org/drawingml/2006/picture">
                        <pic:nvPicPr>
                          <pic:cNvPr id="828" name="图片_1_SpCnt_7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29" name="图片_2_SpCnt_76"/>
                  <wp:cNvGraphicFramePr/>
                  <a:graphic xmlns:a="http://schemas.openxmlformats.org/drawingml/2006/main">
                    <a:graphicData uri="http://schemas.openxmlformats.org/drawingml/2006/picture">
                      <pic:pic xmlns:pic="http://schemas.openxmlformats.org/drawingml/2006/picture">
                        <pic:nvPicPr>
                          <pic:cNvPr id="829" name="图片_2_SpCnt_7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0" name="图片_1_SpCnt_78"/>
                  <wp:cNvGraphicFramePr/>
                  <a:graphic xmlns:a="http://schemas.openxmlformats.org/drawingml/2006/main">
                    <a:graphicData uri="http://schemas.openxmlformats.org/drawingml/2006/picture">
                      <pic:pic xmlns:pic="http://schemas.openxmlformats.org/drawingml/2006/picture">
                        <pic:nvPicPr>
                          <pic:cNvPr id="830" name="图片_1_SpCnt_7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1" name="图片_2_SpCnt_77"/>
                  <wp:cNvGraphicFramePr/>
                  <a:graphic xmlns:a="http://schemas.openxmlformats.org/drawingml/2006/main">
                    <a:graphicData uri="http://schemas.openxmlformats.org/drawingml/2006/picture">
                      <pic:pic xmlns:pic="http://schemas.openxmlformats.org/drawingml/2006/picture">
                        <pic:nvPicPr>
                          <pic:cNvPr id="831" name="图片_2_SpCnt_7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32" name="图片_18"/>
                  <wp:cNvGraphicFramePr/>
                  <a:graphic xmlns:a="http://schemas.openxmlformats.org/drawingml/2006/main">
                    <a:graphicData uri="http://schemas.openxmlformats.org/drawingml/2006/picture">
                      <pic:pic xmlns:pic="http://schemas.openxmlformats.org/drawingml/2006/picture">
                        <pic:nvPicPr>
                          <pic:cNvPr id="832" name="图片_18"/>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33" name="图片_1_SpCnt_79"/>
                  <wp:cNvGraphicFramePr/>
                  <a:graphic xmlns:a="http://schemas.openxmlformats.org/drawingml/2006/main">
                    <a:graphicData uri="http://schemas.openxmlformats.org/drawingml/2006/picture">
                      <pic:pic xmlns:pic="http://schemas.openxmlformats.org/drawingml/2006/picture">
                        <pic:nvPicPr>
                          <pic:cNvPr id="833" name="图片_1_SpCnt_79"/>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4" name="图片_1_SpCnt_80"/>
                  <wp:cNvGraphicFramePr/>
                  <a:graphic xmlns:a="http://schemas.openxmlformats.org/drawingml/2006/main">
                    <a:graphicData uri="http://schemas.openxmlformats.org/drawingml/2006/picture">
                      <pic:pic xmlns:pic="http://schemas.openxmlformats.org/drawingml/2006/picture">
                        <pic:nvPicPr>
                          <pic:cNvPr id="834" name="图片_1_SpCnt_8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5" name="图片_2_SpCnt_78"/>
                  <wp:cNvGraphicFramePr/>
                  <a:graphic xmlns:a="http://schemas.openxmlformats.org/drawingml/2006/main">
                    <a:graphicData uri="http://schemas.openxmlformats.org/drawingml/2006/picture">
                      <pic:pic xmlns:pic="http://schemas.openxmlformats.org/drawingml/2006/picture">
                        <pic:nvPicPr>
                          <pic:cNvPr id="835" name="图片_2_SpCnt_7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6" name="图片_2_SpCnt_79"/>
                  <wp:cNvGraphicFramePr/>
                  <a:graphic xmlns:a="http://schemas.openxmlformats.org/drawingml/2006/main">
                    <a:graphicData uri="http://schemas.openxmlformats.org/drawingml/2006/picture">
                      <pic:pic xmlns:pic="http://schemas.openxmlformats.org/drawingml/2006/picture">
                        <pic:nvPicPr>
                          <pic:cNvPr id="836" name="图片_2_SpCnt_7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7" name="图片_2_SpCnt_80"/>
                  <wp:cNvGraphicFramePr/>
                  <a:graphic xmlns:a="http://schemas.openxmlformats.org/drawingml/2006/main">
                    <a:graphicData uri="http://schemas.openxmlformats.org/drawingml/2006/picture">
                      <pic:pic xmlns:pic="http://schemas.openxmlformats.org/drawingml/2006/picture">
                        <pic:nvPicPr>
                          <pic:cNvPr id="837" name="图片_2_SpCnt_8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8" name="图片_1_SpCnt_81"/>
                  <wp:cNvGraphicFramePr/>
                  <a:graphic xmlns:a="http://schemas.openxmlformats.org/drawingml/2006/main">
                    <a:graphicData uri="http://schemas.openxmlformats.org/drawingml/2006/picture">
                      <pic:pic xmlns:pic="http://schemas.openxmlformats.org/drawingml/2006/picture">
                        <pic:nvPicPr>
                          <pic:cNvPr id="838" name="图片_1_SpCnt_8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9" name="图片_1_SpCnt_82"/>
                  <wp:cNvGraphicFramePr/>
                  <a:graphic xmlns:a="http://schemas.openxmlformats.org/drawingml/2006/main">
                    <a:graphicData uri="http://schemas.openxmlformats.org/drawingml/2006/picture">
                      <pic:pic xmlns:pic="http://schemas.openxmlformats.org/drawingml/2006/picture">
                        <pic:nvPicPr>
                          <pic:cNvPr id="839" name="图片_1_SpCnt_8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0" name="图片_2_SpCnt_81"/>
                  <wp:cNvGraphicFramePr/>
                  <a:graphic xmlns:a="http://schemas.openxmlformats.org/drawingml/2006/main">
                    <a:graphicData uri="http://schemas.openxmlformats.org/drawingml/2006/picture">
                      <pic:pic xmlns:pic="http://schemas.openxmlformats.org/drawingml/2006/picture">
                        <pic:nvPicPr>
                          <pic:cNvPr id="840" name="图片_2_SpCnt_8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1" name="图片_1_SpCnt_83"/>
                  <wp:cNvGraphicFramePr/>
                  <a:graphic xmlns:a="http://schemas.openxmlformats.org/drawingml/2006/main">
                    <a:graphicData uri="http://schemas.openxmlformats.org/drawingml/2006/picture">
                      <pic:pic xmlns:pic="http://schemas.openxmlformats.org/drawingml/2006/picture">
                        <pic:nvPicPr>
                          <pic:cNvPr id="841" name="图片_1_SpCnt_8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2" name="图片_2_SpCnt_82"/>
                  <wp:cNvGraphicFramePr/>
                  <a:graphic xmlns:a="http://schemas.openxmlformats.org/drawingml/2006/main">
                    <a:graphicData uri="http://schemas.openxmlformats.org/drawingml/2006/picture">
                      <pic:pic xmlns:pic="http://schemas.openxmlformats.org/drawingml/2006/picture">
                        <pic:nvPicPr>
                          <pic:cNvPr id="842" name="图片_2_SpCnt_8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3" name="图片_1_SpCnt_84"/>
                  <wp:cNvGraphicFramePr/>
                  <a:graphic xmlns:a="http://schemas.openxmlformats.org/drawingml/2006/main">
                    <a:graphicData uri="http://schemas.openxmlformats.org/drawingml/2006/picture">
                      <pic:pic xmlns:pic="http://schemas.openxmlformats.org/drawingml/2006/picture">
                        <pic:nvPicPr>
                          <pic:cNvPr id="843" name="图片_1_SpCnt_8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4" name="图片_2_SpCnt_83"/>
                  <wp:cNvGraphicFramePr/>
                  <a:graphic xmlns:a="http://schemas.openxmlformats.org/drawingml/2006/main">
                    <a:graphicData uri="http://schemas.openxmlformats.org/drawingml/2006/picture">
                      <pic:pic xmlns:pic="http://schemas.openxmlformats.org/drawingml/2006/picture">
                        <pic:nvPicPr>
                          <pic:cNvPr id="844" name="图片_2_SpCnt_8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5" name="图片_1_SpCnt_85"/>
                  <wp:cNvGraphicFramePr/>
                  <a:graphic xmlns:a="http://schemas.openxmlformats.org/drawingml/2006/main">
                    <a:graphicData uri="http://schemas.openxmlformats.org/drawingml/2006/picture">
                      <pic:pic xmlns:pic="http://schemas.openxmlformats.org/drawingml/2006/picture">
                        <pic:nvPicPr>
                          <pic:cNvPr id="845" name="图片_1_SpCnt_8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46" name="图片_2_SpCnt_84"/>
                  <wp:cNvGraphicFramePr/>
                  <a:graphic xmlns:a="http://schemas.openxmlformats.org/drawingml/2006/main">
                    <a:graphicData uri="http://schemas.openxmlformats.org/drawingml/2006/picture">
                      <pic:pic xmlns:pic="http://schemas.openxmlformats.org/drawingml/2006/picture">
                        <pic:nvPicPr>
                          <pic:cNvPr id="846" name="图片_2_SpCnt_84"/>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47" name="图片_18_SpCnt_1"/>
                  <wp:cNvGraphicFramePr/>
                  <a:graphic xmlns:a="http://schemas.openxmlformats.org/drawingml/2006/main">
                    <a:graphicData uri="http://schemas.openxmlformats.org/drawingml/2006/picture">
                      <pic:pic xmlns:pic="http://schemas.openxmlformats.org/drawingml/2006/picture">
                        <pic:nvPicPr>
                          <pic:cNvPr id="847" name="图片_18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48" name="图片_17_SpCnt_1"/>
                  <wp:cNvGraphicFramePr/>
                  <a:graphic xmlns:a="http://schemas.openxmlformats.org/drawingml/2006/main">
                    <a:graphicData uri="http://schemas.openxmlformats.org/drawingml/2006/picture">
                      <pic:pic xmlns:pic="http://schemas.openxmlformats.org/drawingml/2006/picture">
                        <pic:nvPicPr>
                          <pic:cNvPr id="848" name="图片_17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9" name="图片_1_SpCnt_86"/>
                  <wp:cNvGraphicFramePr/>
                  <a:graphic xmlns:a="http://schemas.openxmlformats.org/drawingml/2006/main">
                    <a:graphicData uri="http://schemas.openxmlformats.org/drawingml/2006/picture">
                      <pic:pic xmlns:pic="http://schemas.openxmlformats.org/drawingml/2006/picture">
                        <pic:nvPicPr>
                          <pic:cNvPr id="849" name="图片_1_SpCnt_8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50" name="图片_18_SpCnt_2"/>
                  <wp:cNvGraphicFramePr/>
                  <a:graphic xmlns:a="http://schemas.openxmlformats.org/drawingml/2006/main">
                    <a:graphicData uri="http://schemas.openxmlformats.org/drawingml/2006/picture">
                      <pic:pic xmlns:pic="http://schemas.openxmlformats.org/drawingml/2006/picture">
                        <pic:nvPicPr>
                          <pic:cNvPr id="850" name="图片_18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51" name="图片_2_SpCnt_85"/>
                  <wp:cNvGraphicFramePr/>
                  <a:graphic xmlns:a="http://schemas.openxmlformats.org/drawingml/2006/main">
                    <a:graphicData uri="http://schemas.openxmlformats.org/drawingml/2006/picture">
                      <pic:pic xmlns:pic="http://schemas.openxmlformats.org/drawingml/2006/picture">
                        <pic:nvPicPr>
                          <pic:cNvPr id="851" name="图片_2_SpCnt_8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52" name="图片_2_SpCnt_86"/>
                  <wp:cNvGraphicFramePr/>
                  <a:graphic xmlns:a="http://schemas.openxmlformats.org/drawingml/2006/main">
                    <a:graphicData uri="http://schemas.openxmlformats.org/drawingml/2006/picture">
                      <pic:pic xmlns:pic="http://schemas.openxmlformats.org/drawingml/2006/picture">
                        <pic:nvPicPr>
                          <pic:cNvPr id="852" name="图片_2_SpCnt_8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53" name="图片_17_SpCnt_2"/>
                  <wp:cNvGraphicFramePr/>
                  <a:graphic xmlns:a="http://schemas.openxmlformats.org/drawingml/2006/main">
                    <a:graphicData uri="http://schemas.openxmlformats.org/drawingml/2006/picture">
                      <pic:pic xmlns:pic="http://schemas.openxmlformats.org/drawingml/2006/picture">
                        <pic:nvPicPr>
                          <pic:cNvPr id="853" name="图片_17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.组织对辖区内自建房进行排查；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.聘请第三方专业机构对自建房进行安全等级鉴定，并将鉴定结果告知自建房房主；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区城乡建设局、区消防救援大队、区发展改革和工业信息化局、区应急管理局、区市场监督管理局：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.对接燃气部门开展燃气管网安全隐患排查工作；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.联合有关部门整治安全隐患；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.做好燃气事故调查处置工作;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.发现燃气事故隐患时，及时进行专业认定，提出整改措施责令立即整改或限期整改。</w:t>
            </w:r>
          </w:p>
        </w:tc>
      </w:tr>
      <w:tr>
        <w:tblPrEx>
          <w:tblCellMar>
            <w:top w:w="0" w:type="dxa"/>
            <w:left w:w="108" w:type="dxa"/>
            <w:bottom w:w="0" w:type="dxa"/>
            <w:right w:w="108" w:type="dxa"/>
          </w:tblCellMar>
        </w:tblPrEx>
        <w:trPr>
          <w:cantSplit/>
          <w:trHeight w:val="14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.受理登记申请并初审；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.审核申请登记宅基地使用权、房屋使用权、集体土地所有权的权属、界桩、面积等信息；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.开展宅基地使用权和房屋使用权登记、集体建设用地使用权登记，颁发登记证书。</w:t>
            </w:r>
          </w:p>
        </w:tc>
      </w:tr>
      <w:tr>
        <w:tblPrEx>
          <w:tblCellMar>
            <w:top w:w="0" w:type="dxa"/>
            <w:left w:w="108" w:type="dxa"/>
            <w:bottom w:w="0" w:type="dxa"/>
            <w:right w:w="108" w:type="dxa"/>
          </w:tblCellMar>
        </w:tblPrEx>
        <w:trPr>
          <w:cantSplit/>
          <w:trHeight w:val="10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.受理登记申请，出具受理凭证；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.审核申请登记集体建设用地及建筑物、构筑物权属、界桩、面积等信息；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.开展集体建设用地使用权登记，颁发登记证书。</w:t>
            </w:r>
          </w:p>
        </w:tc>
      </w:tr>
      <w:tr>
        <w:tblPrEx>
          <w:tblCellMar>
            <w:top w:w="0" w:type="dxa"/>
            <w:left w:w="108" w:type="dxa"/>
            <w:bottom w:w="0" w:type="dxa"/>
            <w:right w:w="108" w:type="dxa"/>
          </w:tblCellMar>
        </w:tblPrEx>
        <w:trPr>
          <w:cantSplit/>
          <w:trHeight w:val="24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0" b="0"/>
                  <wp:wrapNone/>
                  <wp:docPr id="854" name="图片_2_SpCnt_87"/>
                  <wp:cNvGraphicFramePr/>
                  <a:graphic xmlns:a="http://schemas.openxmlformats.org/drawingml/2006/main">
                    <a:graphicData uri="http://schemas.openxmlformats.org/drawingml/2006/picture">
                      <pic:pic xmlns:pic="http://schemas.openxmlformats.org/drawingml/2006/picture">
                        <pic:nvPicPr>
                          <pic:cNvPr id="854" name="图片_2_SpCnt_87"/>
                          <pic:cNvPicPr/>
                        </pic:nvPicPr>
                        <pic:blipFill>
                          <a:blip/>
                          <a:stretch>
                            <a:fillRect/>
                          </a:stretch>
                        </pic:blipFill>
                        <pic:spPr>
                          <a:xfrm>
                            <a:off x="0" y="0"/>
                            <a:ext cx="17780" cy="1905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855" name="图片_17_SpCnt_3"/>
                  <wp:cNvGraphicFramePr/>
                  <a:graphic xmlns:a="http://schemas.openxmlformats.org/drawingml/2006/main">
                    <a:graphicData uri="http://schemas.openxmlformats.org/drawingml/2006/picture">
                      <pic:pic xmlns:pic="http://schemas.openxmlformats.org/drawingml/2006/picture">
                        <pic:nvPicPr>
                          <pic:cNvPr id="855" name="图片_17_SpCnt_3"/>
                          <pic:cNvPicPr/>
                        </pic:nvPicPr>
                        <pic:blipFill>
                          <a:blip/>
                          <a:stretch>
                            <a:fillRect/>
                          </a:stretch>
                        </pic:blipFill>
                        <pic:spPr>
                          <a:xfrm>
                            <a:off x="0" y="0"/>
                            <a:ext cx="17780" cy="952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856" name="图片_18_SpCnt_3"/>
                  <wp:cNvGraphicFramePr/>
                  <a:graphic xmlns:a="http://schemas.openxmlformats.org/drawingml/2006/main">
                    <a:graphicData uri="http://schemas.openxmlformats.org/drawingml/2006/picture">
                      <pic:pic xmlns:pic="http://schemas.openxmlformats.org/drawingml/2006/picture">
                        <pic:nvPicPr>
                          <pic:cNvPr id="856" name="图片_18_SpCnt_3"/>
                          <pic:cNvPicPr/>
                        </pic:nvPicPr>
                        <pic:blipFill>
                          <a:blip/>
                          <a:stretch>
                            <a:fillRect/>
                          </a:stretch>
                        </pic:blipFill>
                        <pic:spPr>
                          <a:xfrm>
                            <a:off x="0" y="0"/>
                            <a:ext cx="17780" cy="952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0" b="0"/>
                  <wp:wrapNone/>
                  <wp:docPr id="857" name="图片_1_SpCnt_87"/>
                  <wp:cNvGraphicFramePr/>
                  <a:graphic xmlns:a="http://schemas.openxmlformats.org/drawingml/2006/main">
                    <a:graphicData uri="http://schemas.openxmlformats.org/drawingml/2006/picture">
                      <pic:pic xmlns:pic="http://schemas.openxmlformats.org/drawingml/2006/picture">
                        <pic:nvPicPr>
                          <pic:cNvPr id="857" name="图片_1_SpCnt_87"/>
                          <pic:cNvPicPr/>
                        </pic:nvPicPr>
                        <pic:blipFill>
                          <a:blip/>
                          <a:stretch>
                            <a:fillRect/>
                          </a:stretch>
                        </pic:blipFill>
                        <pic:spPr>
                          <a:xfrm>
                            <a:off x="0" y="0"/>
                            <a:ext cx="17780" cy="19050"/>
                          </a:xfrm>
                          <a:prstGeom prst="rect">
                            <a:avLst/>
                          </a:prstGeom>
                          <a:noFill/>
                          <a:ln>
                            <a:noFill/>
                          </a:ln>
                        </pic:spPr>
                      </pic:pic>
                    </a:graphicData>
                  </a:graphic>
                </wp:anchor>
              </w:draw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.调查拟征土地的利用现状，形成土地现状调查报告；</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.负责在被征用土地所在地的镇（街道）、村（社区）范围内发布征地公告；</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.开展拟征土地社会风险评估工作；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.征地补偿安置方案报省、市自然资源主管部门备案；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0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.接收竣工验收备案申请并审查；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.对大型公共建筑、重要基础设施等重点项目开展现场抽查工作；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.综合评估，办理备案手续。</w:t>
            </w:r>
          </w:p>
        </w:tc>
      </w:tr>
      <w:tr>
        <w:tblPrEx>
          <w:tblCellMar>
            <w:top w:w="0" w:type="dxa"/>
            <w:left w:w="108" w:type="dxa"/>
            <w:bottom w:w="0" w:type="dxa"/>
            <w:right w:w="108" w:type="dxa"/>
          </w:tblCellMar>
        </w:tblPrEx>
        <w:trPr>
          <w:cantSplit/>
          <w:trHeight w:val="11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宋体"/>
                <w:i w:val="0"/>
                <w:snapToGrid w:val="0"/>
                <w:color w:val="000000"/>
                <w:kern w:val="0"/>
                <w:sz w:val="20"/>
                <w:szCs w:val="20"/>
                <w:u w:val="none"/>
                <w:lang w:val="en-US" w:eastAsia="zh-CN" w:bidi="ar"/>
              </w:rPr>
            </w:pPr>
            <w:r>
              <w:rPr>
                <w:rFonts w:hint="eastAsia" w:ascii="Times New Roman" w:hAnsi="Times New Roman" w:eastAsia="宋体" w:cs="宋体"/>
                <w:i w:val="0"/>
                <w:snapToGrid w:val="0"/>
                <w:color w:val="000000"/>
                <w:kern w:val="0"/>
                <w:sz w:val="20"/>
                <w:szCs w:val="20"/>
                <w:u w:val="none"/>
                <w:lang w:val="en-US" w:eastAsia="zh-CN" w:bidi="ar"/>
              </w:rPr>
              <w:t>109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.制定公租房物业管理服务标准；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.做好租户的日常服务与沟通；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.做好房屋及设施设备的管理维护、环境卫生与绿化管理、公共秩序维护等工作。</w:t>
            </w:r>
          </w:p>
        </w:tc>
      </w:tr>
    </w:tbl>
    <w:p>
      <w:pPr>
        <w:rPr>
          <w:rFonts w:ascii="Times New Roman" w:hAnsi="Times New Roman" w:cs="Times New Roman" w:eastAsiaTheme="minorEastAsia"/>
          <w:lang w:val="en-US"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D5FD8"/>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2CA7"/>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D64C32"/>
    <w:rsid w:val="05F67469"/>
    <w:rsid w:val="076D775D"/>
    <w:rsid w:val="07F20906"/>
    <w:rsid w:val="0BFB72B6"/>
    <w:rsid w:val="11067D46"/>
    <w:rsid w:val="11FD63DD"/>
    <w:rsid w:val="14F14FF4"/>
    <w:rsid w:val="158265CB"/>
    <w:rsid w:val="19E10229"/>
    <w:rsid w:val="1D5769C7"/>
    <w:rsid w:val="1FFFD12A"/>
    <w:rsid w:val="22F921C9"/>
    <w:rsid w:val="23D628BA"/>
    <w:rsid w:val="29BB5B37"/>
    <w:rsid w:val="2F671B67"/>
    <w:rsid w:val="2FB65079"/>
    <w:rsid w:val="2FEF3B86"/>
    <w:rsid w:val="31F63C90"/>
    <w:rsid w:val="348521A0"/>
    <w:rsid w:val="36244787"/>
    <w:rsid w:val="36BCF7B4"/>
    <w:rsid w:val="3956D75C"/>
    <w:rsid w:val="3C75E998"/>
    <w:rsid w:val="3D9FAA3E"/>
    <w:rsid w:val="3FBD3C74"/>
    <w:rsid w:val="3FF7B568"/>
    <w:rsid w:val="3FFF2662"/>
    <w:rsid w:val="427204E3"/>
    <w:rsid w:val="448FA7F2"/>
    <w:rsid w:val="4FB80561"/>
    <w:rsid w:val="4FFB191C"/>
    <w:rsid w:val="52201F33"/>
    <w:rsid w:val="532C7224"/>
    <w:rsid w:val="579E23BF"/>
    <w:rsid w:val="58DF192E"/>
    <w:rsid w:val="5BD7B9D0"/>
    <w:rsid w:val="5D7BC86F"/>
    <w:rsid w:val="5FB8EFBE"/>
    <w:rsid w:val="5FEF407C"/>
    <w:rsid w:val="60255AE4"/>
    <w:rsid w:val="610E12E4"/>
    <w:rsid w:val="63C2501B"/>
    <w:rsid w:val="66B00027"/>
    <w:rsid w:val="6B7D5482"/>
    <w:rsid w:val="6DFF72C1"/>
    <w:rsid w:val="6F760F9E"/>
    <w:rsid w:val="6F7F4BFF"/>
    <w:rsid w:val="72117B9F"/>
    <w:rsid w:val="72F83464"/>
    <w:rsid w:val="736DAB5B"/>
    <w:rsid w:val="76FE66FA"/>
    <w:rsid w:val="773FCFE8"/>
    <w:rsid w:val="777B3063"/>
    <w:rsid w:val="779777B1"/>
    <w:rsid w:val="77FD76D8"/>
    <w:rsid w:val="782B4CD5"/>
    <w:rsid w:val="79FCDF19"/>
    <w:rsid w:val="7AD7AB4C"/>
    <w:rsid w:val="7BEB5D68"/>
    <w:rsid w:val="7BF3B793"/>
    <w:rsid w:val="7BF875D2"/>
    <w:rsid w:val="7CDD80D0"/>
    <w:rsid w:val="7D6F0AA3"/>
    <w:rsid w:val="7D7F9EE9"/>
    <w:rsid w:val="7DEF13B4"/>
    <w:rsid w:val="7DF32A06"/>
    <w:rsid w:val="7DF73839"/>
    <w:rsid w:val="7EBDA882"/>
    <w:rsid w:val="7EDB57A0"/>
    <w:rsid w:val="7F810B94"/>
    <w:rsid w:val="7FBB4667"/>
    <w:rsid w:val="7FBF7CD9"/>
    <w:rsid w:val="7FD98301"/>
    <w:rsid w:val="7FFFCBD5"/>
    <w:rsid w:val="7FFFCEC8"/>
    <w:rsid w:val="83768BF2"/>
    <w:rsid w:val="A54FB411"/>
    <w:rsid w:val="BF8738A8"/>
    <w:rsid w:val="CF3FEF97"/>
    <w:rsid w:val="CF560537"/>
    <w:rsid w:val="D53FB362"/>
    <w:rsid w:val="D5AD9A58"/>
    <w:rsid w:val="E1FD00C3"/>
    <w:rsid w:val="E7DDEC95"/>
    <w:rsid w:val="E893D875"/>
    <w:rsid w:val="EF9F3AAF"/>
    <w:rsid w:val="EFDF569D"/>
    <w:rsid w:val="EFFF1BA1"/>
    <w:rsid w:val="F37EC41A"/>
    <w:rsid w:val="F5DB153B"/>
    <w:rsid w:val="FD3FECE4"/>
    <w:rsid w:val="FD74101E"/>
    <w:rsid w:val="FDA7A81D"/>
    <w:rsid w:val="FDEF6330"/>
    <w:rsid w:val="FFCF6A39"/>
    <w:rsid w:val="FFDFF987"/>
    <w:rsid w:val="FFFA30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41"/>
    <w:basedOn w:val="11"/>
    <w:qFormat/>
    <w:uiPriority w:val="0"/>
    <w:rPr>
      <w:rFonts w:hint="eastAsia" w:ascii="宋体" w:hAnsi="宋体" w:eastAsia="宋体" w:cs="宋体"/>
      <w:color w:val="000000"/>
      <w:sz w:val="20"/>
      <w:szCs w:val="20"/>
      <w:u w:val="none"/>
    </w:rPr>
  </w:style>
  <w:style w:type="character" w:customStyle="1" w:styleId="26">
    <w:name w:val="font61"/>
    <w:basedOn w:val="11"/>
    <w:qFormat/>
    <w:uiPriority w:val="0"/>
    <w:rPr>
      <w:rFonts w:hint="default" w:ascii="Times New Roman" w:hAnsi="Times New Roman" w:cs="Times New Roman"/>
      <w:color w:val="000000"/>
      <w:sz w:val="20"/>
      <w:szCs w:val="20"/>
      <w:u w:val="none"/>
    </w:rPr>
  </w:style>
  <w:style w:type="character" w:customStyle="1" w:styleId="27">
    <w:name w:val="font31"/>
    <w:basedOn w:val="11"/>
    <w:qFormat/>
    <w:uiPriority w:val="0"/>
    <w:rPr>
      <w:rFonts w:hint="eastAsia" w:ascii="宋体" w:hAnsi="宋体" w:eastAsia="宋体" w:cs="宋体"/>
      <w:b/>
      <w:color w:val="000000"/>
      <w:sz w:val="20"/>
      <w:szCs w:val="20"/>
      <w:u w:val="none"/>
    </w:rPr>
  </w:style>
  <w:style w:type="character" w:customStyle="1" w:styleId="28">
    <w:name w:val="font81"/>
    <w:basedOn w:val="11"/>
    <w:qFormat/>
    <w:uiPriority w:val="0"/>
    <w:rPr>
      <w:rFonts w:hint="default" w:ascii="Times New Roman" w:hAnsi="Times New Roman" w:cs="Times New Roman"/>
      <w:color w:val="000000"/>
      <w:sz w:val="20"/>
      <w:szCs w:val="20"/>
      <w:u w:val="none"/>
    </w:rPr>
  </w:style>
  <w:style w:type="character" w:customStyle="1" w:styleId="29">
    <w:name w:val="font51"/>
    <w:basedOn w:val="11"/>
    <w:qFormat/>
    <w:uiPriority w:val="0"/>
    <w:rPr>
      <w:rFonts w:hint="eastAsia" w:ascii="宋体" w:hAnsi="宋体" w:eastAsia="宋体" w:cs="宋体"/>
      <w:b/>
      <w:color w:val="000000"/>
      <w:sz w:val="20"/>
      <w:szCs w:val="20"/>
      <w:u w:val="none"/>
    </w:rPr>
  </w:style>
  <w:style w:type="character" w:customStyle="1" w:styleId="30">
    <w:name w:val="font71"/>
    <w:basedOn w:val="11"/>
    <w:qFormat/>
    <w:uiPriority w:val="0"/>
    <w:rPr>
      <w:rFonts w:hint="eastAsia" w:ascii="宋体" w:hAnsi="宋体" w:eastAsia="宋体" w:cs="宋体"/>
      <w:color w:val="000000"/>
      <w:sz w:val="18"/>
      <w:szCs w:val="18"/>
      <w:u w:val="none"/>
    </w:rPr>
  </w:style>
  <w:style w:type="character" w:customStyle="1" w:styleId="31">
    <w:name w:val="font91"/>
    <w:basedOn w:val="11"/>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72</Words>
  <Characters>415</Characters>
  <Lines>3</Lines>
  <Paragraphs>1</Paragraphs>
  <TotalTime>6</TotalTime>
  <ScaleCrop>false</ScaleCrop>
  <LinksUpToDate>false</LinksUpToDate>
  <CharactersWithSpaces>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2024-07-20T04:59:00Z</dcterms:created>
  <dc:creator>liuhl</dc:creator>
  <cp:lastModifiedBy>Administrator</cp:lastModifiedBy>
  <dcterms:modified xsi:type="dcterms:W3CDTF">2025-06-19T00:36:16Z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7F05670267975D7D0C2C4A6834CAD2D3_43</vt:lpwstr>
  </property>
</Properties>
</file>